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CAA1" w14:textId="0AD98A80" w:rsidR="003F35DB" w:rsidRDefault="00967CBE" w:rsidP="001340AF">
      <w:pPr>
        <w:spacing w:after="120" w:line="480" w:lineRule="auto"/>
        <w:jc w:val="both"/>
        <w:rPr>
          <w:rFonts w:ascii="Garamond" w:hAnsi="Garamond"/>
          <w:b/>
          <w:bCs/>
          <w:sz w:val="24"/>
          <w:szCs w:val="24"/>
          <w:u w:val="single"/>
          <w:lang w:val="en-US"/>
        </w:rPr>
      </w:pPr>
      <w:r w:rsidRPr="00D56AF5">
        <w:rPr>
          <w:rFonts w:ascii="Garamond" w:hAnsi="Garamond"/>
          <w:b/>
          <w:bCs/>
          <w:sz w:val="24"/>
          <w:szCs w:val="24"/>
          <w:u w:val="single"/>
          <w:lang w:val="en-US"/>
        </w:rPr>
        <w:t>S</w:t>
      </w:r>
      <w:r w:rsidR="00BF7A9A" w:rsidRPr="00D56AF5">
        <w:rPr>
          <w:rFonts w:ascii="Garamond" w:hAnsi="Garamond"/>
          <w:b/>
          <w:bCs/>
          <w:sz w:val="24"/>
          <w:szCs w:val="24"/>
          <w:u w:val="single"/>
          <w:lang w:val="en-US"/>
        </w:rPr>
        <w:t xml:space="preserve">TANDING AUTHORIZATIONS FOR </w:t>
      </w:r>
      <w:r w:rsidR="001136F0" w:rsidRPr="00D56AF5">
        <w:rPr>
          <w:rFonts w:ascii="Garamond" w:hAnsi="Garamond"/>
          <w:b/>
          <w:bCs/>
          <w:sz w:val="24"/>
          <w:szCs w:val="24"/>
          <w:u w:val="single"/>
          <w:lang w:val="en-US"/>
        </w:rPr>
        <w:t>PRO-DEMOCRATIC</w:t>
      </w:r>
      <w:r w:rsidR="005E2B51" w:rsidRPr="00D56AF5">
        <w:rPr>
          <w:rFonts w:ascii="Garamond" w:hAnsi="Garamond"/>
          <w:b/>
          <w:bCs/>
          <w:sz w:val="24"/>
          <w:szCs w:val="24"/>
          <w:u w:val="single"/>
          <w:lang w:val="en-US"/>
        </w:rPr>
        <w:t xml:space="preserve"> </w:t>
      </w:r>
      <w:r w:rsidR="00BF7A9A" w:rsidRPr="00D56AF5">
        <w:rPr>
          <w:rFonts w:ascii="Garamond" w:hAnsi="Garamond"/>
          <w:b/>
          <w:bCs/>
          <w:sz w:val="24"/>
          <w:szCs w:val="24"/>
          <w:u w:val="single"/>
          <w:lang w:val="en-US"/>
        </w:rPr>
        <w:t>INTERVENTION</w:t>
      </w:r>
      <w:r w:rsidR="005E2B51" w:rsidRPr="00D56AF5">
        <w:rPr>
          <w:rFonts w:ascii="Garamond" w:hAnsi="Garamond"/>
          <w:b/>
          <w:bCs/>
          <w:sz w:val="24"/>
          <w:szCs w:val="24"/>
          <w:u w:val="single"/>
          <w:lang w:val="en-US"/>
        </w:rPr>
        <w:t>S</w:t>
      </w:r>
      <w:r w:rsidR="00BF7A9A" w:rsidRPr="00D56AF5">
        <w:rPr>
          <w:rFonts w:ascii="Garamond" w:hAnsi="Garamond"/>
          <w:b/>
          <w:bCs/>
          <w:sz w:val="24"/>
          <w:szCs w:val="24"/>
          <w:u w:val="single"/>
          <w:lang w:val="en-US"/>
        </w:rPr>
        <w:t xml:space="preserve"> AND THE PARADOX OF</w:t>
      </w:r>
      <w:r w:rsidR="009F46E3" w:rsidRPr="00D56AF5">
        <w:rPr>
          <w:rFonts w:ascii="Garamond" w:hAnsi="Garamond"/>
          <w:b/>
          <w:bCs/>
          <w:sz w:val="24"/>
          <w:szCs w:val="24"/>
          <w:u w:val="single"/>
          <w:lang w:val="en-US"/>
        </w:rPr>
        <w:t xml:space="preserve"> EXTERNAL</w:t>
      </w:r>
      <w:r w:rsidR="00BF7A9A" w:rsidRPr="00D56AF5">
        <w:rPr>
          <w:rFonts w:ascii="Garamond" w:hAnsi="Garamond"/>
          <w:b/>
          <w:bCs/>
          <w:sz w:val="24"/>
          <w:szCs w:val="24"/>
          <w:u w:val="single"/>
          <w:lang w:val="en-US"/>
        </w:rPr>
        <w:t xml:space="preserve"> SOVEREIGNTY</w:t>
      </w:r>
      <w:r w:rsidR="00AC3BB2" w:rsidRPr="00D56AF5">
        <w:rPr>
          <w:rStyle w:val="FootnoteReference"/>
          <w:rFonts w:ascii="Garamond" w:hAnsi="Garamond"/>
          <w:b/>
          <w:bCs/>
          <w:sz w:val="24"/>
          <w:szCs w:val="24"/>
          <w:u w:val="single"/>
          <w:lang w:val="en-US"/>
        </w:rPr>
        <w:footnoteReference w:customMarkFollows="1" w:id="1"/>
        <w:t>*</w:t>
      </w:r>
    </w:p>
    <w:p w14:paraId="0935B546" w14:textId="523C1C6B" w:rsidR="00A97A69" w:rsidRPr="00A97A69" w:rsidRDefault="00A97A69" w:rsidP="00A97A69">
      <w:pPr>
        <w:spacing w:after="120" w:line="480" w:lineRule="auto"/>
        <w:jc w:val="right"/>
        <w:rPr>
          <w:rFonts w:ascii="Garamond" w:hAnsi="Garamond"/>
          <w:i/>
          <w:iCs/>
          <w:sz w:val="24"/>
          <w:szCs w:val="24"/>
          <w:lang w:val="en-US"/>
        </w:rPr>
      </w:pPr>
      <w:r w:rsidRPr="00A97A69">
        <w:rPr>
          <w:rFonts w:ascii="Garamond" w:hAnsi="Garamond"/>
          <w:i/>
          <w:iCs/>
          <w:sz w:val="24"/>
          <w:szCs w:val="24"/>
          <w:lang w:val="en-US"/>
        </w:rPr>
        <w:t>Samira Mathias</w:t>
      </w:r>
    </w:p>
    <w:bookmarkStart w:id="0" w:name="_Toc169217161" w:displacedByCustomXml="next"/>
    <w:sdt>
      <w:sdtPr>
        <w:rPr>
          <w:rFonts w:asciiTheme="minorHAnsi" w:eastAsiaTheme="minorHAnsi" w:hAnsiTheme="minorHAnsi" w:cstheme="minorBidi"/>
          <w:b/>
          <w:bCs/>
          <w:color w:val="auto"/>
          <w:kern w:val="2"/>
          <w:sz w:val="22"/>
          <w:szCs w:val="22"/>
          <w:lang w:val="en-IN"/>
          <w14:ligatures w14:val="standardContextual"/>
        </w:rPr>
        <w:id w:val="-29114142"/>
        <w:docPartObj>
          <w:docPartGallery w:val="Table of Contents"/>
          <w:docPartUnique/>
        </w:docPartObj>
      </w:sdtPr>
      <w:sdtEndPr>
        <w:rPr>
          <w:noProof/>
        </w:rPr>
      </w:sdtEndPr>
      <w:sdtContent>
        <w:p w14:paraId="7978F21E" w14:textId="62B61A77" w:rsidR="00B679CD" w:rsidRPr="00781D43" w:rsidRDefault="00B679CD" w:rsidP="00781D43">
          <w:pPr>
            <w:pStyle w:val="TOCHeading"/>
            <w:spacing w:line="276" w:lineRule="auto"/>
            <w:jc w:val="both"/>
            <w:rPr>
              <w:rFonts w:ascii="Garamond" w:hAnsi="Garamond"/>
              <w:b/>
              <w:bCs/>
              <w:color w:val="000000" w:themeColor="text1"/>
              <w:sz w:val="24"/>
              <w:szCs w:val="24"/>
            </w:rPr>
          </w:pPr>
          <w:r w:rsidRPr="00781D43">
            <w:rPr>
              <w:rFonts w:ascii="Garamond" w:hAnsi="Garamond"/>
              <w:b/>
              <w:bCs/>
              <w:color w:val="000000" w:themeColor="text1"/>
              <w:sz w:val="24"/>
              <w:szCs w:val="24"/>
            </w:rPr>
            <w:t>Table of Contents</w:t>
          </w:r>
        </w:p>
        <w:p w14:paraId="2DB3267D" w14:textId="6A16C26F" w:rsidR="00781D43" w:rsidRPr="00781D43" w:rsidRDefault="00B679CD" w:rsidP="00781D43">
          <w:pPr>
            <w:pStyle w:val="TOC1"/>
            <w:tabs>
              <w:tab w:val="right" w:leader="dot" w:pos="9016"/>
            </w:tabs>
            <w:spacing w:line="276" w:lineRule="auto"/>
            <w:jc w:val="both"/>
            <w:rPr>
              <w:rFonts w:ascii="Garamond" w:eastAsiaTheme="minorEastAsia" w:hAnsi="Garamond"/>
              <w:b w:val="0"/>
              <w:bCs w:val="0"/>
              <w:noProof/>
              <w:color w:val="000000" w:themeColor="text1"/>
              <w:sz w:val="24"/>
              <w:szCs w:val="24"/>
              <w:lang w:val="en-US"/>
            </w:rPr>
          </w:pPr>
          <w:r w:rsidRPr="00781D43">
            <w:rPr>
              <w:rFonts w:ascii="Garamond" w:hAnsi="Garamond"/>
              <w:b w:val="0"/>
              <w:bCs w:val="0"/>
              <w:color w:val="000000" w:themeColor="text1"/>
              <w:sz w:val="24"/>
              <w:szCs w:val="24"/>
            </w:rPr>
            <w:fldChar w:fldCharType="begin"/>
          </w:r>
          <w:r w:rsidRPr="00781D43">
            <w:rPr>
              <w:rFonts w:ascii="Garamond" w:hAnsi="Garamond"/>
              <w:color w:val="000000" w:themeColor="text1"/>
              <w:sz w:val="24"/>
              <w:szCs w:val="24"/>
            </w:rPr>
            <w:instrText xml:space="preserve"> TOC \o "1-3" \h \z \u </w:instrText>
          </w:r>
          <w:r w:rsidRPr="00781D43">
            <w:rPr>
              <w:rFonts w:ascii="Garamond" w:hAnsi="Garamond"/>
              <w:b w:val="0"/>
              <w:bCs w:val="0"/>
              <w:color w:val="000000" w:themeColor="text1"/>
              <w:sz w:val="24"/>
              <w:szCs w:val="24"/>
            </w:rPr>
            <w:fldChar w:fldCharType="separate"/>
          </w:r>
          <w:hyperlink w:anchor="_Toc191740721" w:history="1">
            <w:r w:rsidR="00781D43" w:rsidRPr="00781D43">
              <w:rPr>
                <w:rStyle w:val="Hyperlink"/>
                <w:rFonts w:ascii="Garamond" w:hAnsi="Garamond"/>
                <w:noProof/>
                <w:color w:val="000000" w:themeColor="text1"/>
                <w:sz w:val="24"/>
                <w:szCs w:val="24"/>
                <w:lang w:val="en-US"/>
              </w:rPr>
              <w:t>Introduction</w:t>
            </w:r>
            <w:r w:rsidR="00781D43" w:rsidRPr="00781D43">
              <w:rPr>
                <w:rFonts w:ascii="Garamond" w:hAnsi="Garamond"/>
                <w:noProof/>
                <w:webHidden/>
                <w:color w:val="000000" w:themeColor="text1"/>
                <w:sz w:val="24"/>
                <w:szCs w:val="24"/>
              </w:rPr>
              <w:tab/>
            </w:r>
            <w:r w:rsidR="00781D43" w:rsidRPr="00781D43">
              <w:rPr>
                <w:rFonts w:ascii="Garamond" w:hAnsi="Garamond"/>
                <w:noProof/>
                <w:webHidden/>
                <w:color w:val="000000" w:themeColor="text1"/>
                <w:sz w:val="24"/>
                <w:szCs w:val="24"/>
              </w:rPr>
              <w:fldChar w:fldCharType="begin"/>
            </w:r>
            <w:r w:rsidR="00781D43" w:rsidRPr="00781D43">
              <w:rPr>
                <w:rFonts w:ascii="Garamond" w:hAnsi="Garamond"/>
                <w:noProof/>
                <w:webHidden/>
                <w:color w:val="000000" w:themeColor="text1"/>
                <w:sz w:val="24"/>
                <w:szCs w:val="24"/>
              </w:rPr>
              <w:instrText xml:space="preserve"> PAGEREF _Toc191740721 \h </w:instrText>
            </w:r>
            <w:r w:rsidR="00781D43" w:rsidRPr="00781D43">
              <w:rPr>
                <w:rFonts w:ascii="Garamond" w:hAnsi="Garamond"/>
                <w:noProof/>
                <w:webHidden/>
                <w:color w:val="000000" w:themeColor="text1"/>
                <w:sz w:val="24"/>
                <w:szCs w:val="24"/>
              </w:rPr>
            </w:r>
            <w:r w:rsidR="00781D43"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2</w:t>
            </w:r>
            <w:r w:rsidR="00781D43" w:rsidRPr="00781D43">
              <w:rPr>
                <w:rFonts w:ascii="Garamond" w:hAnsi="Garamond"/>
                <w:noProof/>
                <w:webHidden/>
                <w:color w:val="000000" w:themeColor="text1"/>
                <w:sz w:val="24"/>
                <w:szCs w:val="24"/>
              </w:rPr>
              <w:fldChar w:fldCharType="end"/>
            </w:r>
          </w:hyperlink>
        </w:p>
        <w:p w14:paraId="4CD85802" w14:textId="0529080C" w:rsidR="00781D43" w:rsidRPr="00781D43" w:rsidRDefault="00781D43" w:rsidP="00781D43">
          <w:pPr>
            <w:pStyle w:val="TOC1"/>
            <w:tabs>
              <w:tab w:val="left" w:pos="440"/>
              <w:tab w:val="right" w:leader="dot" w:pos="9016"/>
            </w:tabs>
            <w:spacing w:line="276" w:lineRule="auto"/>
            <w:jc w:val="both"/>
            <w:rPr>
              <w:rFonts w:ascii="Garamond" w:eastAsiaTheme="minorEastAsia" w:hAnsi="Garamond"/>
              <w:b w:val="0"/>
              <w:bCs w:val="0"/>
              <w:noProof/>
              <w:color w:val="000000" w:themeColor="text1"/>
              <w:sz w:val="24"/>
              <w:szCs w:val="24"/>
              <w:lang w:val="en-US"/>
            </w:rPr>
          </w:pPr>
          <w:hyperlink w:anchor="_Toc191740722" w:history="1">
            <w:r w:rsidRPr="00781D43">
              <w:rPr>
                <w:rStyle w:val="Hyperlink"/>
                <w:rFonts w:ascii="Garamond" w:hAnsi="Garamond"/>
                <w:noProof/>
                <w:color w:val="000000" w:themeColor="text1"/>
                <w:sz w:val="24"/>
                <w:szCs w:val="24"/>
                <w:lang w:val="en-US"/>
              </w:rPr>
              <w:t>1.</w:t>
            </w:r>
            <w:r w:rsidRPr="00781D43">
              <w:rPr>
                <w:rFonts w:ascii="Garamond" w:eastAsiaTheme="minorEastAsia" w:hAnsi="Garamond"/>
                <w:b w:val="0"/>
                <w:bCs w:val="0"/>
                <w:noProof/>
                <w:color w:val="000000" w:themeColor="text1"/>
                <w:sz w:val="24"/>
                <w:szCs w:val="24"/>
                <w:lang w:val="en-US"/>
              </w:rPr>
              <w:tab/>
            </w:r>
            <w:r w:rsidRPr="00781D43">
              <w:rPr>
                <w:rStyle w:val="Hyperlink"/>
                <w:rFonts w:ascii="Garamond" w:hAnsi="Garamond"/>
                <w:noProof/>
                <w:color w:val="000000" w:themeColor="text1"/>
                <w:sz w:val="24"/>
                <w:szCs w:val="24"/>
                <w:lang w:val="en-US"/>
              </w:rPr>
              <w:t>The legal concept of sovereignty and the paradox in treaty-making</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_Toc191740722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6</w:t>
            </w:r>
            <w:r w:rsidRPr="00781D43">
              <w:rPr>
                <w:rFonts w:ascii="Garamond" w:hAnsi="Garamond"/>
                <w:noProof/>
                <w:webHidden/>
                <w:color w:val="000000" w:themeColor="text1"/>
                <w:sz w:val="24"/>
                <w:szCs w:val="24"/>
              </w:rPr>
              <w:fldChar w:fldCharType="end"/>
            </w:r>
          </w:hyperlink>
        </w:p>
        <w:p w14:paraId="22B53353" w14:textId="68F9B0ED" w:rsidR="00781D43" w:rsidRPr="00781D43" w:rsidRDefault="00781D43" w:rsidP="00781D43">
          <w:pPr>
            <w:pStyle w:val="TOC2"/>
            <w:tabs>
              <w:tab w:val="left" w:pos="880"/>
              <w:tab w:val="right" w:leader="dot" w:pos="9016"/>
            </w:tabs>
            <w:spacing w:line="276" w:lineRule="auto"/>
            <w:jc w:val="both"/>
            <w:rPr>
              <w:rFonts w:ascii="Garamond" w:eastAsiaTheme="minorEastAsia" w:hAnsi="Garamond"/>
              <w:i w:val="0"/>
              <w:iCs w:val="0"/>
              <w:noProof/>
              <w:color w:val="000000" w:themeColor="text1"/>
              <w:sz w:val="24"/>
              <w:szCs w:val="24"/>
              <w:lang w:val="en-US"/>
            </w:rPr>
          </w:pPr>
          <w:hyperlink w:anchor="_Toc191740723" w:history="1">
            <w:r w:rsidRPr="00781D43">
              <w:rPr>
                <w:rStyle w:val="Hyperlink"/>
                <w:rFonts w:ascii="Garamond" w:hAnsi="Garamond"/>
                <w:noProof/>
                <w:color w:val="000000" w:themeColor="text1"/>
                <w:sz w:val="24"/>
                <w:szCs w:val="24"/>
                <w:lang w:val="en-US"/>
              </w:rPr>
              <w:t>1.1.</w:t>
            </w:r>
            <w:r w:rsidRPr="00781D43">
              <w:rPr>
                <w:rFonts w:ascii="Garamond" w:eastAsiaTheme="minorEastAsia" w:hAnsi="Garamond"/>
                <w:i w:val="0"/>
                <w:iCs w:val="0"/>
                <w:noProof/>
                <w:color w:val="000000" w:themeColor="text1"/>
                <w:sz w:val="24"/>
                <w:szCs w:val="24"/>
                <w:lang w:val="en-US"/>
              </w:rPr>
              <w:tab/>
            </w:r>
            <w:r w:rsidRPr="00781D43">
              <w:rPr>
                <w:rStyle w:val="Hyperlink"/>
                <w:rFonts w:ascii="Garamond" w:hAnsi="Garamond"/>
                <w:noProof/>
                <w:color w:val="000000" w:themeColor="text1"/>
                <w:sz w:val="24"/>
                <w:szCs w:val="24"/>
                <w:lang w:val="en-US"/>
              </w:rPr>
              <w:t>The legal concept of sovereignty</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_Toc191740723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7</w:t>
            </w:r>
            <w:r w:rsidRPr="00781D43">
              <w:rPr>
                <w:rFonts w:ascii="Garamond" w:hAnsi="Garamond"/>
                <w:noProof/>
                <w:webHidden/>
                <w:color w:val="000000" w:themeColor="text1"/>
                <w:sz w:val="24"/>
                <w:szCs w:val="24"/>
              </w:rPr>
              <w:fldChar w:fldCharType="end"/>
            </w:r>
          </w:hyperlink>
        </w:p>
        <w:p w14:paraId="1C7EAE87" w14:textId="3F65E103"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24" w:history="1">
            <w:r w:rsidRPr="00781D43">
              <w:rPr>
                <w:rStyle w:val="Hyperlink"/>
                <w:rFonts w:ascii="Garamond" w:hAnsi="Garamond"/>
                <w:noProof/>
                <w:color w:val="000000" w:themeColor="text1"/>
                <w:sz w:val="24"/>
                <w:szCs w:val="24"/>
                <w:lang w:val="en-US"/>
              </w:rPr>
              <w:t>1.1.1.</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Sovereignty is a political-legal concept</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_Toc191740724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9</w:t>
            </w:r>
            <w:r w:rsidRPr="00781D43">
              <w:rPr>
                <w:rFonts w:ascii="Garamond" w:hAnsi="Garamond"/>
                <w:noProof/>
                <w:webHidden/>
                <w:color w:val="000000" w:themeColor="text1"/>
                <w:sz w:val="24"/>
                <w:szCs w:val="24"/>
              </w:rPr>
              <w:fldChar w:fldCharType="end"/>
            </w:r>
          </w:hyperlink>
        </w:p>
        <w:p w14:paraId="42FA2D6F" w14:textId="43B2D4CA"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25" w:history="1">
            <w:r w:rsidRPr="00781D43">
              <w:rPr>
                <w:rStyle w:val="Hyperlink"/>
                <w:rFonts w:ascii="Garamond" w:hAnsi="Garamond"/>
                <w:noProof/>
                <w:color w:val="000000" w:themeColor="text1"/>
                <w:sz w:val="24"/>
                <w:szCs w:val="24"/>
                <w:lang w:val="en-US"/>
              </w:rPr>
              <w:t>1.1.2.</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Sovereignty is an institutional concept</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_Toc191740725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10</w:t>
            </w:r>
            <w:r w:rsidRPr="00781D43">
              <w:rPr>
                <w:rFonts w:ascii="Garamond" w:hAnsi="Garamond"/>
                <w:noProof/>
                <w:webHidden/>
                <w:color w:val="000000" w:themeColor="text1"/>
                <w:sz w:val="24"/>
                <w:szCs w:val="24"/>
              </w:rPr>
              <w:fldChar w:fldCharType="end"/>
            </w:r>
          </w:hyperlink>
        </w:p>
        <w:p w14:paraId="12ADE49A" w14:textId="3C17BE6E"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26" w:history="1">
            <w:r w:rsidRPr="00781D43">
              <w:rPr>
                <w:rStyle w:val="Hyperlink"/>
                <w:rFonts w:ascii="Garamond" w:hAnsi="Garamond"/>
                <w:noProof/>
                <w:color w:val="000000" w:themeColor="text1"/>
                <w:sz w:val="24"/>
                <w:szCs w:val="24"/>
                <w:lang w:val="en-US"/>
              </w:rPr>
              <w:t>1.1.3.</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External sovereignty is a normative concept</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_Toc191740726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11</w:t>
            </w:r>
            <w:r w:rsidRPr="00781D43">
              <w:rPr>
                <w:rFonts w:ascii="Garamond" w:hAnsi="Garamond"/>
                <w:noProof/>
                <w:webHidden/>
                <w:color w:val="000000" w:themeColor="text1"/>
                <w:sz w:val="24"/>
                <w:szCs w:val="24"/>
              </w:rPr>
              <w:fldChar w:fldCharType="end"/>
            </w:r>
          </w:hyperlink>
        </w:p>
        <w:p w14:paraId="3427A34A" w14:textId="44FA3490"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27" w:history="1">
            <w:r w:rsidRPr="00781D43">
              <w:rPr>
                <w:rStyle w:val="Hyperlink"/>
                <w:rFonts w:ascii="Garamond" w:hAnsi="Garamond"/>
                <w:noProof/>
                <w:color w:val="000000" w:themeColor="text1"/>
                <w:sz w:val="24"/>
                <w:szCs w:val="24"/>
                <w:lang w:val="en-US"/>
              </w:rPr>
              <w:t>1.1.4.</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Sovereign authority is reconcilable with the authority of international law</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_Toc191740727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13</w:t>
            </w:r>
            <w:r w:rsidRPr="00781D43">
              <w:rPr>
                <w:rFonts w:ascii="Garamond" w:hAnsi="Garamond"/>
                <w:noProof/>
                <w:webHidden/>
                <w:color w:val="000000" w:themeColor="text1"/>
                <w:sz w:val="24"/>
                <w:szCs w:val="24"/>
              </w:rPr>
              <w:fldChar w:fldCharType="end"/>
            </w:r>
          </w:hyperlink>
        </w:p>
        <w:p w14:paraId="6FB02253" w14:textId="3E60C39E" w:rsidR="00781D43" w:rsidRPr="00781D43" w:rsidRDefault="00781D43" w:rsidP="00781D43">
          <w:pPr>
            <w:pStyle w:val="TOC2"/>
            <w:tabs>
              <w:tab w:val="left" w:pos="880"/>
              <w:tab w:val="right" w:leader="dot" w:pos="9016"/>
            </w:tabs>
            <w:spacing w:line="276" w:lineRule="auto"/>
            <w:jc w:val="both"/>
            <w:rPr>
              <w:rFonts w:ascii="Garamond" w:eastAsiaTheme="minorEastAsia" w:hAnsi="Garamond"/>
              <w:i w:val="0"/>
              <w:iCs w:val="0"/>
              <w:noProof/>
              <w:color w:val="000000" w:themeColor="text1"/>
              <w:sz w:val="24"/>
              <w:szCs w:val="24"/>
              <w:lang w:val="en-US"/>
            </w:rPr>
          </w:pPr>
          <w:hyperlink w:anchor="_Toc191740728" w:history="1">
            <w:r w:rsidRPr="00781D43">
              <w:rPr>
                <w:rStyle w:val="Hyperlink"/>
                <w:rFonts w:ascii="Garamond" w:hAnsi="Garamond"/>
                <w:noProof/>
                <w:color w:val="000000" w:themeColor="text1"/>
                <w:sz w:val="24"/>
                <w:szCs w:val="24"/>
                <w:lang w:val="en-US"/>
              </w:rPr>
              <w:t>1.2.</w:t>
            </w:r>
            <w:r w:rsidRPr="00781D43">
              <w:rPr>
                <w:rFonts w:ascii="Garamond" w:eastAsiaTheme="minorEastAsia" w:hAnsi="Garamond"/>
                <w:i w:val="0"/>
                <w:iCs w:val="0"/>
                <w:noProof/>
                <w:color w:val="000000" w:themeColor="text1"/>
                <w:sz w:val="24"/>
                <w:szCs w:val="24"/>
                <w:lang w:val="en-US"/>
              </w:rPr>
              <w:tab/>
            </w:r>
            <w:r w:rsidRPr="00781D43">
              <w:rPr>
                <w:rStyle w:val="Hyperlink"/>
                <w:rFonts w:ascii="Garamond" w:hAnsi="Garamond"/>
                <w:noProof/>
                <w:color w:val="000000" w:themeColor="text1"/>
                <w:sz w:val="24"/>
                <w:szCs w:val="24"/>
                <w:lang w:val="en-US"/>
              </w:rPr>
              <w:t>The paradox of sovereignty and voluntaristic consent theories</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_Toc191740728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14</w:t>
            </w:r>
            <w:r w:rsidRPr="00781D43">
              <w:rPr>
                <w:rFonts w:ascii="Garamond" w:hAnsi="Garamond"/>
                <w:noProof/>
                <w:webHidden/>
                <w:color w:val="000000" w:themeColor="text1"/>
                <w:sz w:val="24"/>
                <w:szCs w:val="24"/>
              </w:rPr>
              <w:fldChar w:fldCharType="end"/>
            </w:r>
          </w:hyperlink>
        </w:p>
        <w:p w14:paraId="5321BF31" w14:textId="4ADF15A0" w:rsidR="00781D43" w:rsidRPr="00781D43" w:rsidRDefault="00781D43" w:rsidP="00781D43">
          <w:pPr>
            <w:pStyle w:val="TOC2"/>
            <w:tabs>
              <w:tab w:val="left" w:pos="880"/>
              <w:tab w:val="right" w:leader="dot" w:pos="9016"/>
            </w:tabs>
            <w:spacing w:line="276" w:lineRule="auto"/>
            <w:jc w:val="both"/>
            <w:rPr>
              <w:rFonts w:ascii="Garamond" w:eastAsiaTheme="minorEastAsia" w:hAnsi="Garamond"/>
              <w:i w:val="0"/>
              <w:iCs w:val="0"/>
              <w:noProof/>
              <w:color w:val="000000" w:themeColor="text1"/>
              <w:sz w:val="24"/>
              <w:szCs w:val="24"/>
              <w:lang w:val="en-US"/>
            </w:rPr>
          </w:pPr>
          <w:hyperlink w:anchor="_Toc191740729" w:history="1">
            <w:r w:rsidRPr="00781D43">
              <w:rPr>
                <w:rStyle w:val="Hyperlink"/>
                <w:rFonts w:ascii="Garamond" w:hAnsi="Garamond"/>
                <w:noProof/>
                <w:color w:val="000000" w:themeColor="text1"/>
                <w:sz w:val="24"/>
                <w:szCs w:val="24"/>
                <w:lang w:val="en-US"/>
              </w:rPr>
              <w:t>1.3.</w:t>
            </w:r>
            <w:r w:rsidRPr="00781D43">
              <w:rPr>
                <w:rFonts w:ascii="Garamond" w:eastAsiaTheme="minorEastAsia" w:hAnsi="Garamond"/>
                <w:i w:val="0"/>
                <w:iCs w:val="0"/>
                <w:noProof/>
                <w:color w:val="000000" w:themeColor="text1"/>
                <w:sz w:val="24"/>
                <w:szCs w:val="24"/>
                <w:lang w:val="en-US"/>
              </w:rPr>
              <w:tab/>
            </w:r>
            <w:r w:rsidRPr="00781D43">
              <w:rPr>
                <w:rStyle w:val="Hyperlink"/>
                <w:rFonts w:ascii="Garamond" w:hAnsi="Garamond"/>
                <w:noProof/>
                <w:color w:val="000000" w:themeColor="text1"/>
                <w:sz w:val="24"/>
                <w:szCs w:val="24"/>
                <w:lang w:val="en-US"/>
              </w:rPr>
              <w:t>An alternative to the theory of consent and the mechanics of the erosion of sovereignty</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_Toc191740729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17</w:t>
            </w:r>
            <w:r w:rsidRPr="00781D43">
              <w:rPr>
                <w:rFonts w:ascii="Garamond" w:hAnsi="Garamond"/>
                <w:noProof/>
                <w:webHidden/>
                <w:color w:val="000000" w:themeColor="text1"/>
                <w:sz w:val="24"/>
                <w:szCs w:val="24"/>
              </w:rPr>
              <w:fldChar w:fldCharType="end"/>
            </w:r>
          </w:hyperlink>
        </w:p>
        <w:p w14:paraId="50B08A00" w14:textId="1495C487" w:rsidR="00781D43" w:rsidRPr="00781D43" w:rsidRDefault="00781D43" w:rsidP="00781D43">
          <w:pPr>
            <w:pStyle w:val="TOC1"/>
            <w:tabs>
              <w:tab w:val="left" w:pos="440"/>
              <w:tab w:val="right" w:leader="dot" w:pos="9016"/>
            </w:tabs>
            <w:spacing w:line="276" w:lineRule="auto"/>
            <w:jc w:val="both"/>
            <w:rPr>
              <w:rFonts w:ascii="Garamond" w:eastAsiaTheme="minorEastAsia" w:hAnsi="Garamond"/>
              <w:b w:val="0"/>
              <w:bCs w:val="0"/>
              <w:noProof/>
              <w:color w:val="000000" w:themeColor="text1"/>
              <w:sz w:val="24"/>
              <w:szCs w:val="24"/>
              <w:lang w:val="en-US"/>
            </w:rPr>
          </w:pPr>
          <w:hyperlink w:anchor="_Toc191740730" w:history="1">
            <w:r w:rsidRPr="00781D43">
              <w:rPr>
                <w:rStyle w:val="Hyperlink"/>
                <w:rFonts w:ascii="Garamond" w:hAnsi="Garamond"/>
                <w:noProof/>
                <w:color w:val="000000" w:themeColor="text1"/>
                <w:sz w:val="24"/>
                <w:szCs w:val="24"/>
                <w:lang w:val="en-US"/>
              </w:rPr>
              <w:t>2.</w:t>
            </w:r>
            <w:r w:rsidRPr="00781D43">
              <w:rPr>
                <w:rFonts w:ascii="Garamond" w:eastAsiaTheme="minorEastAsia" w:hAnsi="Garamond"/>
                <w:b w:val="0"/>
                <w:bCs w:val="0"/>
                <w:noProof/>
                <w:color w:val="000000" w:themeColor="text1"/>
                <w:sz w:val="24"/>
                <w:szCs w:val="24"/>
                <w:lang w:val="en-US"/>
              </w:rPr>
              <w:tab/>
            </w:r>
            <w:r w:rsidRPr="00781D43">
              <w:rPr>
                <w:rStyle w:val="Hyperlink"/>
                <w:rFonts w:ascii="Garamond" w:hAnsi="Garamond"/>
                <w:noProof/>
                <w:color w:val="000000" w:themeColor="text1"/>
                <w:sz w:val="24"/>
                <w:szCs w:val="24"/>
                <w:lang w:val="en-US"/>
              </w:rPr>
              <w:t>Standing Authorizations and the Paradox of Sovereignty</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_Toc191740730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24</w:t>
            </w:r>
            <w:r w:rsidRPr="00781D43">
              <w:rPr>
                <w:rFonts w:ascii="Garamond" w:hAnsi="Garamond"/>
                <w:noProof/>
                <w:webHidden/>
                <w:color w:val="000000" w:themeColor="text1"/>
                <w:sz w:val="24"/>
                <w:szCs w:val="24"/>
              </w:rPr>
              <w:fldChar w:fldCharType="end"/>
            </w:r>
          </w:hyperlink>
        </w:p>
        <w:p w14:paraId="1FAAFB9E" w14:textId="52038AFC" w:rsidR="00781D43" w:rsidRPr="00781D43" w:rsidRDefault="00781D43" w:rsidP="00781D43">
          <w:pPr>
            <w:pStyle w:val="TOC2"/>
            <w:tabs>
              <w:tab w:val="left" w:pos="880"/>
              <w:tab w:val="right" w:leader="dot" w:pos="9016"/>
            </w:tabs>
            <w:spacing w:line="276" w:lineRule="auto"/>
            <w:jc w:val="both"/>
            <w:rPr>
              <w:rFonts w:ascii="Garamond" w:eastAsiaTheme="minorEastAsia" w:hAnsi="Garamond"/>
              <w:i w:val="0"/>
              <w:iCs w:val="0"/>
              <w:noProof/>
              <w:color w:val="000000" w:themeColor="text1"/>
              <w:sz w:val="24"/>
              <w:szCs w:val="24"/>
              <w:lang w:val="en-US"/>
            </w:rPr>
          </w:pPr>
          <w:hyperlink w:anchor="_Toc191740731" w:history="1">
            <w:r w:rsidRPr="00781D43">
              <w:rPr>
                <w:rStyle w:val="Hyperlink"/>
                <w:rFonts w:ascii="Garamond" w:hAnsi="Garamond"/>
                <w:noProof/>
                <w:color w:val="000000" w:themeColor="text1"/>
                <w:sz w:val="24"/>
                <w:szCs w:val="24"/>
                <w:lang w:val="en-US"/>
              </w:rPr>
              <w:t>2.1.</w:t>
            </w:r>
            <w:r w:rsidRPr="00781D43">
              <w:rPr>
                <w:rFonts w:ascii="Garamond" w:eastAsiaTheme="minorEastAsia" w:hAnsi="Garamond"/>
                <w:i w:val="0"/>
                <w:iCs w:val="0"/>
                <w:noProof/>
                <w:color w:val="000000" w:themeColor="text1"/>
                <w:sz w:val="24"/>
                <w:szCs w:val="24"/>
                <w:lang w:val="en-US"/>
              </w:rPr>
              <w:tab/>
            </w:r>
            <w:r w:rsidRPr="00781D43">
              <w:rPr>
                <w:rStyle w:val="Hyperlink"/>
                <w:rFonts w:ascii="Garamond" w:hAnsi="Garamond"/>
                <w:noProof/>
                <w:color w:val="000000" w:themeColor="text1"/>
                <w:sz w:val="24"/>
                <w:szCs w:val="24"/>
                <w:lang w:val="en-US"/>
              </w:rPr>
              <w:t>A framework of values</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_Toc191740731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25</w:t>
            </w:r>
            <w:r w:rsidRPr="00781D43">
              <w:rPr>
                <w:rFonts w:ascii="Garamond" w:hAnsi="Garamond"/>
                <w:noProof/>
                <w:webHidden/>
                <w:color w:val="000000" w:themeColor="text1"/>
                <w:sz w:val="24"/>
                <w:szCs w:val="24"/>
              </w:rPr>
              <w:fldChar w:fldCharType="end"/>
            </w:r>
          </w:hyperlink>
        </w:p>
        <w:p w14:paraId="7D839929" w14:textId="7A7E27B7"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32" w:history="1">
            <w:r w:rsidRPr="00781D43">
              <w:rPr>
                <w:rStyle w:val="Hyperlink"/>
                <w:rFonts w:ascii="Garamond" w:hAnsi="Garamond"/>
                <w:noProof/>
                <w:color w:val="000000" w:themeColor="text1"/>
                <w:sz w:val="24"/>
                <w:szCs w:val="24"/>
                <w:lang w:val="en-US"/>
              </w:rPr>
              <w:t>2.1.1.</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Self-determination</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_Toc191740732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26</w:t>
            </w:r>
            <w:r w:rsidRPr="00781D43">
              <w:rPr>
                <w:rFonts w:ascii="Garamond" w:hAnsi="Garamond"/>
                <w:noProof/>
                <w:webHidden/>
                <w:color w:val="000000" w:themeColor="text1"/>
                <w:sz w:val="24"/>
                <w:szCs w:val="24"/>
              </w:rPr>
              <w:fldChar w:fldCharType="end"/>
            </w:r>
          </w:hyperlink>
        </w:p>
        <w:p w14:paraId="3C97C603" w14:textId="619EE75B"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33" w:history="1">
            <w:r w:rsidRPr="00781D43">
              <w:rPr>
                <w:rStyle w:val="Hyperlink"/>
                <w:rFonts w:ascii="Garamond" w:hAnsi="Garamond"/>
                <w:noProof/>
                <w:color w:val="000000" w:themeColor="text1"/>
                <w:sz w:val="24"/>
                <w:szCs w:val="24"/>
                <w:lang w:val="en-US"/>
              </w:rPr>
              <w:t>2.1.2.</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Popular sovereignty</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_Toc191740733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27</w:t>
            </w:r>
            <w:r w:rsidRPr="00781D43">
              <w:rPr>
                <w:rFonts w:ascii="Garamond" w:hAnsi="Garamond"/>
                <w:noProof/>
                <w:webHidden/>
                <w:color w:val="000000" w:themeColor="text1"/>
                <w:sz w:val="24"/>
                <w:szCs w:val="24"/>
              </w:rPr>
              <w:fldChar w:fldCharType="end"/>
            </w:r>
          </w:hyperlink>
        </w:p>
        <w:p w14:paraId="25942E31" w14:textId="31AFD24A"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34" w:history="1">
            <w:r w:rsidRPr="00781D43">
              <w:rPr>
                <w:rStyle w:val="Hyperlink"/>
                <w:rFonts w:ascii="Garamond" w:hAnsi="Garamond"/>
                <w:noProof/>
                <w:color w:val="000000" w:themeColor="text1"/>
                <w:sz w:val="24"/>
                <w:szCs w:val="24"/>
                <w:lang w:val="en-US"/>
              </w:rPr>
              <w:t>2.1.3.</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Subsidiarity</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_Toc191740734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29</w:t>
            </w:r>
            <w:r w:rsidRPr="00781D43">
              <w:rPr>
                <w:rFonts w:ascii="Garamond" w:hAnsi="Garamond"/>
                <w:noProof/>
                <w:webHidden/>
                <w:color w:val="000000" w:themeColor="text1"/>
                <w:sz w:val="24"/>
                <w:szCs w:val="24"/>
              </w:rPr>
              <w:fldChar w:fldCharType="end"/>
            </w:r>
          </w:hyperlink>
        </w:p>
        <w:p w14:paraId="40BCE41E" w14:textId="7BFBA621" w:rsidR="00781D43" w:rsidRPr="00781D43" w:rsidRDefault="00781D43" w:rsidP="00781D43">
          <w:pPr>
            <w:pStyle w:val="TOC2"/>
            <w:tabs>
              <w:tab w:val="left" w:pos="880"/>
              <w:tab w:val="right" w:leader="dot" w:pos="9016"/>
            </w:tabs>
            <w:spacing w:line="276" w:lineRule="auto"/>
            <w:jc w:val="both"/>
            <w:rPr>
              <w:rFonts w:ascii="Garamond" w:eastAsiaTheme="minorEastAsia" w:hAnsi="Garamond"/>
              <w:i w:val="0"/>
              <w:iCs w:val="0"/>
              <w:noProof/>
              <w:color w:val="000000" w:themeColor="text1"/>
              <w:sz w:val="24"/>
              <w:szCs w:val="24"/>
              <w:lang w:val="en-US"/>
            </w:rPr>
          </w:pPr>
          <w:hyperlink w:anchor="_Toc191740735" w:history="1">
            <w:r w:rsidRPr="00781D43">
              <w:rPr>
                <w:rStyle w:val="Hyperlink"/>
                <w:rFonts w:ascii="Garamond" w:hAnsi="Garamond"/>
                <w:noProof/>
                <w:color w:val="000000" w:themeColor="text1"/>
                <w:sz w:val="24"/>
                <w:szCs w:val="24"/>
                <w:lang w:val="en-US"/>
              </w:rPr>
              <w:t>2.2.</w:t>
            </w:r>
            <w:r w:rsidRPr="00781D43">
              <w:rPr>
                <w:rFonts w:ascii="Garamond" w:eastAsiaTheme="minorEastAsia" w:hAnsi="Garamond"/>
                <w:i w:val="0"/>
                <w:iCs w:val="0"/>
                <w:noProof/>
                <w:color w:val="000000" w:themeColor="text1"/>
                <w:sz w:val="24"/>
                <w:szCs w:val="24"/>
                <w:lang w:val="en-US"/>
              </w:rPr>
              <w:tab/>
            </w:r>
            <w:r w:rsidRPr="00781D43">
              <w:rPr>
                <w:rStyle w:val="Hyperlink"/>
                <w:rFonts w:ascii="Garamond" w:hAnsi="Garamond"/>
                <w:noProof/>
                <w:color w:val="000000" w:themeColor="text1"/>
                <w:sz w:val="24"/>
                <w:szCs w:val="24"/>
                <w:lang w:val="en-US"/>
              </w:rPr>
              <w:t>Interventions by Invitation</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_Toc191740735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30</w:t>
            </w:r>
            <w:r w:rsidRPr="00781D43">
              <w:rPr>
                <w:rFonts w:ascii="Garamond" w:hAnsi="Garamond"/>
                <w:noProof/>
                <w:webHidden/>
                <w:color w:val="000000" w:themeColor="text1"/>
                <w:sz w:val="24"/>
                <w:szCs w:val="24"/>
              </w:rPr>
              <w:fldChar w:fldCharType="end"/>
            </w:r>
          </w:hyperlink>
        </w:p>
        <w:p w14:paraId="29883654" w14:textId="1820F889"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36" w:history="1">
            <w:r w:rsidRPr="00781D43">
              <w:rPr>
                <w:rStyle w:val="Hyperlink"/>
                <w:rFonts w:ascii="Garamond" w:hAnsi="Garamond"/>
                <w:noProof/>
                <w:color w:val="000000" w:themeColor="text1"/>
                <w:sz w:val="24"/>
                <w:szCs w:val="24"/>
                <w:lang w:val="en-US"/>
              </w:rPr>
              <w:t>2.2.1.</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Who issues the invitation</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_Toc191740736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31</w:t>
            </w:r>
            <w:r w:rsidRPr="00781D43">
              <w:rPr>
                <w:rFonts w:ascii="Garamond" w:hAnsi="Garamond"/>
                <w:noProof/>
                <w:webHidden/>
                <w:color w:val="000000" w:themeColor="text1"/>
                <w:sz w:val="24"/>
                <w:szCs w:val="24"/>
              </w:rPr>
              <w:fldChar w:fldCharType="end"/>
            </w:r>
          </w:hyperlink>
        </w:p>
        <w:p w14:paraId="69990FC7" w14:textId="3569DD7D"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37" w:history="1">
            <w:r w:rsidRPr="00781D43">
              <w:rPr>
                <w:rStyle w:val="Hyperlink"/>
                <w:rFonts w:ascii="Garamond" w:hAnsi="Garamond"/>
                <w:noProof/>
                <w:color w:val="000000" w:themeColor="text1"/>
                <w:sz w:val="24"/>
                <w:szCs w:val="24"/>
                <w:lang w:val="en-US"/>
              </w:rPr>
              <w:t>2.2.2.</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Who makes recognition decisions</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_Toc191740737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39</w:t>
            </w:r>
            <w:r w:rsidRPr="00781D43">
              <w:rPr>
                <w:rFonts w:ascii="Garamond" w:hAnsi="Garamond"/>
                <w:noProof/>
                <w:webHidden/>
                <w:color w:val="000000" w:themeColor="text1"/>
                <w:sz w:val="24"/>
                <w:szCs w:val="24"/>
              </w:rPr>
              <w:fldChar w:fldCharType="end"/>
            </w:r>
          </w:hyperlink>
        </w:p>
        <w:p w14:paraId="2FFF2846" w14:textId="1F29239E"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38" w:history="1">
            <w:r w:rsidRPr="00781D43">
              <w:rPr>
                <w:rStyle w:val="Hyperlink"/>
                <w:rFonts w:ascii="Garamond" w:hAnsi="Garamond"/>
                <w:noProof/>
                <w:color w:val="000000" w:themeColor="text1"/>
                <w:sz w:val="24"/>
                <w:szCs w:val="24"/>
                <w:lang w:val="en-US"/>
              </w:rPr>
              <w:t>2.2.3.</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The requirements of consent</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_Toc191740738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41</w:t>
            </w:r>
            <w:r w:rsidRPr="00781D43">
              <w:rPr>
                <w:rFonts w:ascii="Garamond" w:hAnsi="Garamond"/>
                <w:noProof/>
                <w:webHidden/>
                <w:color w:val="000000" w:themeColor="text1"/>
                <w:sz w:val="24"/>
                <w:szCs w:val="24"/>
              </w:rPr>
              <w:fldChar w:fldCharType="end"/>
            </w:r>
          </w:hyperlink>
        </w:p>
        <w:p w14:paraId="6AB8DD3E" w14:textId="51CB7268" w:rsidR="00781D43" w:rsidRPr="00781D43" w:rsidRDefault="00781D43" w:rsidP="00781D43">
          <w:pPr>
            <w:pStyle w:val="TOC2"/>
            <w:tabs>
              <w:tab w:val="left" w:pos="880"/>
              <w:tab w:val="right" w:leader="dot" w:pos="9016"/>
            </w:tabs>
            <w:spacing w:line="276" w:lineRule="auto"/>
            <w:jc w:val="both"/>
            <w:rPr>
              <w:rFonts w:ascii="Garamond" w:eastAsiaTheme="minorEastAsia" w:hAnsi="Garamond"/>
              <w:i w:val="0"/>
              <w:iCs w:val="0"/>
              <w:noProof/>
              <w:color w:val="000000" w:themeColor="text1"/>
              <w:sz w:val="24"/>
              <w:szCs w:val="24"/>
              <w:lang w:val="en-US"/>
            </w:rPr>
          </w:pPr>
          <w:hyperlink w:anchor="_Toc191740739" w:history="1">
            <w:r w:rsidRPr="00781D43">
              <w:rPr>
                <w:rStyle w:val="Hyperlink"/>
                <w:rFonts w:ascii="Garamond" w:hAnsi="Garamond"/>
                <w:noProof/>
                <w:color w:val="000000" w:themeColor="text1"/>
                <w:sz w:val="24"/>
                <w:szCs w:val="24"/>
                <w:lang w:val="en-US"/>
              </w:rPr>
              <w:t>2.3.</w:t>
            </w:r>
            <w:r w:rsidRPr="00781D43">
              <w:rPr>
                <w:rFonts w:ascii="Garamond" w:eastAsiaTheme="minorEastAsia" w:hAnsi="Garamond"/>
                <w:i w:val="0"/>
                <w:iCs w:val="0"/>
                <w:noProof/>
                <w:color w:val="000000" w:themeColor="text1"/>
                <w:sz w:val="24"/>
                <w:szCs w:val="24"/>
                <w:lang w:val="en-US"/>
              </w:rPr>
              <w:tab/>
            </w:r>
            <w:r w:rsidRPr="00781D43">
              <w:rPr>
                <w:rStyle w:val="Hyperlink"/>
                <w:rFonts w:ascii="Garamond" w:hAnsi="Garamond"/>
                <w:noProof/>
                <w:color w:val="000000" w:themeColor="text1"/>
                <w:sz w:val="24"/>
                <w:szCs w:val="24"/>
                <w:lang w:val="en-US"/>
              </w:rPr>
              <w:t>Assessing the two routes</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_Toc191740739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42</w:t>
            </w:r>
            <w:r w:rsidRPr="00781D43">
              <w:rPr>
                <w:rFonts w:ascii="Garamond" w:hAnsi="Garamond"/>
                <w:noProof/>
                <w:webHidden/>
                <w:color w:val="000000" w:themeColor="text1"/>
                <w:sz w:val="24"/>
                <w:szCs w:val="24"/>
              </w:rPr>
              <w:fldChar w:fldCharType="end"/>
            </w:r>
          </w:hyperlink>
        </w:p>
        <w:p w14:paraId="510C8F3B" w14:textId="28B0E53A"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40" w:history="1">
            <w:r w:rsidRPr="00781D43">
              <w:rPr>
                <w:rStyle w:val="Hyperlink"/>
                <w:rFonts w:ascii="Garamond" w:hAnsi="Garamond"/>
                <w:noProof/>
                <w:color w:val="000000" w:themeColor="text1"/>
                <w:sz w:val="24"/>
                <w:szCs w:val="24"/>
              </w:rPr>
              <w:t>2.3.1.</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rPr>
              <w:t>Risks of abuse because standing authorizations lack specificity and meaningful revocability, and fail to capture the contemporaneous will of the state</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_Toc191740740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43</w:t>
            </w:r>
            <w:r w:rsidRPr="00781D43">
              <w:rPr>
                <w:rFonts w:ascii="Garamond" w:hAnsi="Garamond"/>
                <w:noProof/>
                <w:webHidden/>
                <w:color w:val="000000" w:themeColor="text1"/>
                <w:sz w:val="24"/>
                <w:szCs w:val="24"/>
              </w:rPr>
              <w:fldChar w:fldCharType="end"/>
            </w:r>
          </w:hyperlink>
        </w:p>
        <w:p w14:paraId="69DFA000" w14:textId="07D614F7"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41" w:history="1">
            <w:r w:rsidRPr="00781D43">
              <w:rPr>
                <w:rStyle w:val="Hyperlink"/>
                <w:rFonts w:ascii="Garamond" w:hAnsi="Garamond"/>
                <w:noProof/>
                <w:color w:val="000000" w:themeColor="text1"/>
                <w:sz w:val="24"/>
                <w:szCs w:val="24"/>
                <w:lang w:val="en-US"/>
              </w:rPr>
              <w:t>2.3.2.</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The intervening states or organizations lack features respecting subsidiarity and justification for standing to make mistakes</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_Toc191740741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45</w:t>
            </w:r>
            <w:r w:rsidRPr="00781D43">
              <w:rPr>
                <w:rFonts w:ascii="Garamond" w:hAnsi="Garamond"/>
                <w:noProof/>
                <w:webHidden/>
                <w:color w:val="000000" w:themeColor="text1"/>
                <w:sz w:val="24"/>
                <w:szCs w:val="24"/>
              </w:rPr>
              <w:fldChar w:fldCharType="end"/>
            </w:r>
          </w:hyperlink>
        </w:p>
        <w:p w14:paraId="430A0A79" w14:textId="7ABB0DDB" w:rsidR="00781D43" w:rsidRPr="00781D43" w:rsidRDefault="00781D43" w:rsidP="00781D43">
          <w:pPr>
            <w:pStyle w:val="TOC3"/>
            <w:tabs>
              <w:tab w:val="left" w:pos="1320"/>
              <w:tab w:val="right" w:leader="dot" w:pos="9016"/>
            </w:tabs>
            <w:spacing w:line="276" w:lineRule="auto"/>
            <w:jc w:val="both"/>
            <w:rPr>
              <w:rFonts w:ascii="Garamond" w:eastAsiaTheme="minorEastAsia" w:hAnsi="Garamond"/>
              <w:noProof/>
              <w:color w:val="000000" w:themeColor="text1"/>
              <w:sz w:val="24"/>
              <w:szCs w:val="24"/>
              <w:lang w:val="en-US"/>
            </w:rPr>
          </w:pPr>
          <w:hyperlink w:anchor="_Toc191740742" w:history="1">
            <w:r w:rsidRPr="00781D43">
              <w:rPr>
                <w:rStyle w:val="Hyperlink"/>
                <w:rFonts w:ascii="Garamond" w:hAnsi="Garamond"/>
                <w:noProof/>
                <w:color w:val="000000" w:themeColor="text1"/>
                <w:sz w:val="24"/>
                <w:szCs w:val="24"/>
                <w:lang w:val="en-US"/>
              </w:rPr>
              <w:t>2.3.3.</w:t>
            </w:r>
            <w:r w:rsidRPr="00781D43">
              <w:rPr>
                <w:rFonts w:ascii="Garamond" w:eastAsiaTheme="minorEastAsia" w:hAnsi="Garamond"/>
                <w:noProof/>
                <w:color w:val="000000" w:themeColor="text1"/>
                <w:sz w:val="24"/>
                <w:szCs w:val="24"/>
                <w:lang w:val="en-US"/>
              </w:rPr>
              <w:tab/>
            </w:r>
            <w:r w:rsidRPr="00781D43">
              <w:rPr>
                <w:rStyle w:val="Hyperlink"/>
                <w:rFonts w:ascii="Garamond" w:hAnsi="Garamond"/>
                <w:noProof/>
                <w:color w:val="000000" w:themeColor="text1"/>
                <w:sz w:val="24"/>
                <w:szCs w:val="24"/>
                <w:lang w:val="en-US"/>
              </w:rPr>
              <w:t>Standing authorizations do not require legitimacy assessments and do not better serve basic values of the system</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_Toc191740742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48</w:t>
            </w:r>
            <w:r w:rsidRPr="00781D43">
              <w:rPr>
                <w:rFonts w:ascii="Garamond" w:hAnsi="Garamond"/>
                <w:noProof/>
                <w:webHidden/>
                <w:color w:val="000000" w:themeColor="text1"/>
                <w:sz w:val="24"/>
                <w:szCs w:val="24"/>
              </w:rPr>
              <w:fldChar w:fldCharType="end"/>
            </w:r>
          </w:hyperlink>
        </w:p>
        <w:p w14:paraId="7340A210" w14:textId="7164DFE9" w:rsidR="00781D43" w:rsidRPr="00781D43" w:rsidRDefault="00781D43" w:rsidP="00781D43">
          <w:pPr>
            <w:pStyle w:val="TOC1"/>
            <w:tabs>
              <w:tab w:val="right" w:leader="dot" w:pos="9016"/>
            </w:tabs>
            <w:spacing w:line="276" w:lineRule="auto"/>
            <w:jc w:val="both"/>
            <w:rPr>
              <w:rFonts w:ascii="Garamond" w:eastAsiaTheme="minorEastAsia" w:hAnsi="Garamond"/>
              <w:b w:val="0"/>
              <w:bCs w:val="0"/>
              <w:noProof/>
              <w:color w:val="000000" w:themeColor="text1"/>
              <w:sz w:val="24"/>
              <w:szCs w:val="24"/>
              <w:lang w:val="en-US"/>
            </w:rPr>
          </w:pPr>
          <w:hyperlink w:anchor="_Toc191740743" w:history="1">
            <w:r w:rsidRPr="00781D43">
              <w:rPr>
                <w:rStyle w:val="Hyperlink"/>
                <w:rFonts w:ascii="Garamond" w:hAnsi="Garamond"/>
                <w:noProof/>
                <w:color w:val="000000" w:themeColor="text1"/>
                <w:sz w:val="24"/>
                <w:szCs w:val="24"/>
                <w:lang w:val="en-US"/>
              </w:rPr>
              <w:t>Conclusion: A way forward?</w:t>
            </w:r>
            <w:r w:rsidRPr="00781D43">
              <w:rPr>
                <w:rFonts w:ascii="Garamond" w:hAnsi="Garamond"/>
                <w:noProof/>
                <w:webHidden/>
                <w:color w:val="000000" w:themeColor="text1"/>
                <w:sz w:val="24"/>
                <w:szCs w:val="24"/>
              </w:rPr>
              <w:tab/>
            </w:r>
            <w:r w:rsidRPr="00781D43">
              <w:rPr>
                <w:rFonts w:ascii="Garamond" w:hAnsi="Garamond"/>
                <w:noProof/>
                <w:webHidden/>
                <w:color w:val="000000" w:themeColor="text1"/>
                <w:sz w:val="24"/>
                <w:szCs w:val="24"/>
              </w:rPr>
              <w:fldChar w:fldCharType="begin"/>
            </w:r>
            <w:r w:rsidRPr="00781D43">
              <w:rPr>
                <w:rFonts w:ascii="Garamond" w:hAnsi="Garamond"/>
                <w:noProof/>
                <w:webHidden/>
                <w:color w:val="000000" w:themeColor="text1"/>
                <w:sz w:val="24"/>
                <w:szCs w:val="24"/>
              </w:rPr>
              <w:instrText xml:space="preserve"> PAGEREF _Toc191740743 \h </w:instrText>
            </w:r>
            <w:r w:rsidRPr="00781D43">
              <w:rPr>
                <w:rFonts w:ascii="Garamond" w:hAnsi="Garamond"/>
                <w:noProof/>
                <w:webHidden/>
                <w:color w:val="000000" w:themeColor="text1"/>
                <w:sz w:val="24"/>
                <w:szCs w:val="24"/>
              </w:rPr>
            </w:r>
            <w:r w:rsidRPr="00781D43">
              <w:rPr>
                <w:rFonts w:ascii="Garamond" w:hAnsi="Garamond"/>
                <w:noProof/>
                <w:webHidden/>
                <w:color w:val="000000" w:themeColor="text1"/>
                <w:sz w:val="24"/>
                <w:szCs w:val="24"/>
              </w:rPr>
              <w:fldChar w:fldCharType="separate"/>
            </w:r>
            <w:r w:rsidR="006B583F">
              <w:rPr>
                <w:rFonts w:ascii="Garamond" w:hAnsi="Garamond"/>
                <w:noProof/>
                <w:webHidden/>
                <w:color w:val="000000" w:themeColor="text1"/>
                <w:sz w:val="24"/>
                <w:szCs w:val="24"/>
              </w:rPr>
              <w:t>49</w:t>
            </w:r>
            <w:r w:rsidRPr="00781D43">
              <w:rPr>
                <w:rFonts w:ascii="Garamond" w:hAnsi="Garamond"/>
                <w:noProof/>
                <w:webHidden/>
                <w:color w:val="000000" w:themeColor="text1"/>
                <w:sz w:val="24"/>
                <w:szCs w:val="24"/>
              </w:rPr>
              <w:fldChar w:fldCharType="end"/>
            </w:r>
          </w:hyperlink>
        </w:p>
        <w:p w14:paraId="2FED625C" w14:textId="1196456A" w:rsidR="00B679CD" w:rsidRDefault="00B679CD" w:rsidP="00781D43">
          <w:pPr>
            <w:spacing w:line="276" w:lineRule="auto"/>
            <w:jc w:val="both"/>
          </w:pPr>
          <w:r w:rsidRPr="00781D43">
            <w:rPr>
              <w:rFonts w:ascii="Garamond" w:hAnsi="Garamond"/>
              <w:b/>
              <w:bCs/>
              <w:noProof/>
              <w:color w:val="000000" w:themeColor="text1"/>
              <w:sz w:val="24"/>
              <w:szCs w:val="24"/>
            </w:rPr>
            <w:fldChar w:fldCharType="end"/>
          </w:r>
        </w:p>
      </w:sdtContent>
    </w:sdt>
    <w:p w14:paraId="64E425C1" w14:textId="06CF1418" w:rsidR="00261AF8" w:rsidRDefault="00261AF8" w:rsidP="001340AF">
      <w:pPr>
        <w:pStyle w:val="Heading1"/>
        <w:spacing w:after="120" w:line="480" w:lineRule="auto"/>
        <w:rPr>
          <w:szCs w:val="24"/>
          <w:lang w:val="en-US"/>
        </w:rPr>
      </w:pPr>
      <w:bookmarkStart w:id="1" w:name="_Toc191740721"/>
      <w:r w:rsidRPr="00D56AF5">
        <w:rPr>
          <w:szCs w:val="24"/>
          <w:lang w:val="en-US"/>
        </w:rPr>
        <w:lastRenderedPageBreak/>
        <w:t>Introduction</w:t>
      </w:r>
      <w:bookmarkEnd w:id="0"/>
      <w:bookmarkEnd w:id="1"/>
      <w:r w:rsidRPr="00D56AF5">
        <w:rPr>
          <w:szCs w:val="24"/>
          <w:lang w:val="en-US"/>
        </w:rPr>
        <w:t xml:space="preserve"> </w:t>
      </w:r>
    </w:p>
    <w:p w14:paraId="2327FF3B" w14:textId="392AAF68" w:rsidR="00132FBE" w:rsidRDefault="00132FBE" w:rsidP="001340AF">
      <w:pPr>
        <w:spacing w:after="120" w:line="480" w:lineRule="auto"/>
        <w:jc w:val="both"/>
        <w:rPr>
          <w:rFonts w:ascii="Garamond" w:hAnsi="Garamond"/>
          <w:sz w:val="24"/>
          <w:szCs w:val="24"/>
          <w:lang w:val="en-US"/>
        </w:rPr>
      </w:pPr>
      <w:r>
        <w:rPr>
          <w:rFonts w:ascii="Garamond" w:hAnsi="Garamond"/>
          <w:sz w:val="24"/>
          <w:szCs w:val="24"/>
          <w:lang w:val="en-US"/>
        </w:rPr>
        <w:t xml:space="preserve">In August 2023, following a military coup that overthrew </w:t>
      </w:r>
      <w:r w:rsidRPr="00D56AF5">
        <w:rPr>
          <w:rFonts w:ascii="Garamond" w:hAnsi="Garamond"/>
          <w:sz w:val="24"/>
          <w:szCs w:val="24"/>
          <w:lang w:val="en-US"/>
        </w:rPr>
        <w:t>Nigerien President, Mohammed Bazoum</w:t>
      </w:r>
      <w:r>
        <w:rPr>
          <w:rFonts w:ascii="Garamond" w:hAnsi="Garamond"/>
          <w:sz w:val="24"/>
          <w:szCs w:val="24"/>
          <w:lang w:val="en-US"/>
        </w:rPr>
        <w:t xml:space="preserve">, </w:t>
      </w:r>
      <w:r w:rsidRPr="00D56AF5">
        <w:rPr>
          <w:rFonts w:ascii="Garamond" w:hAnsi="Garamond"/>
          <w:sz w:val="24"/>
          <w:szCs w:val="24"/>
          <w:lang w:val="en-US"/>
        </w:rPr>
        <w:t>ECOWAS announced the deployment of a Standing Force and threatened to invade Niger</w:t>
      </w:r>
      <w:r>
        <w:rPr>
          <w:rFonts w:ascii="Garamond" w:hAnsi="Garamond"/>
          <w:sz w:val="24"/>
          <w:szCs w:val="24"/>
          <w:lang w:val="en-US"/>
        </w:rPr>
        <w:t xml:space="preserve">, if Bazoum </w:t>
      </w:r>
      <w:r w:rsidRPr="00D56AF5">
        <w:rPr>
          <w:rFonts w:ascii="Garamond" w:hAnsi="Garamond"/>
          <w:sz w:val="24"/>
          <w:szCs w:val="24"/>
          <w:lang w:val="en-US"/>
        </w:rPr>
        <w:t xml:space="preserve">was not restored to office. </w:t>
      </w:r>
      <w:r>
        <w:rPr>
          <w:rFonts w:ascii="Garamond" w:hAnsi="Garamond"/>
          <w:sz w:val="24"/>
          <w:szCs w:val="24"/>
          <w:lang w:val="en-US"/>
        </w:rPr>
        <w:t xml:space="preserve">A use or threat to use force is illegal under article 2(4) of the UN Charter, </w:t>
      </w:r>
      <w:r w:rsidRPr="00132FBE">
        <w:rPr>
          <w:rFonts w:ascii="Garamond" w:hAnsi="Garamond"/>
          <w:sz w:val="24"/>
          <w:szCs w:val="24"/>
          <w:lang w:val="en-US"/>
        </w:rPr>
        <w:t xml:space="preserve">unless the force is pursuant to UNSC authorization or in exercise of the legitimate right of self-defense under article 51 of the Charter. </w:t>
      </w:r>
      <w:r w:rsidRPr="00132FBE">
        <w:rPr>
          <w:rFonts w:ascii="Garamond" w:hAnsi="Garamond"/>
          <w:sz w:val="24"/>
          <w:szCs w:val="24"/>
        </w:rPr>
        <w:t xml:space="preserve">Military force can also be deployed in a third state </w:t>
      </w:r>
      <w:r>
        <w:rPr>
          <w:rFonts w:ascii="Garamond" w:hAnsi="Garamond"/>
          <w:sz w:val="24"/>
          <w:szCs w:val="24"/>
        </w:rPr>
        <w:t xml:space="preserve">with </w:t>
      </w:r>
      <w:r w:rsidRPr="00132FBE">
        <w:rPr>
          <w:rFonts w:ascii="Garamond" w:hAnsi="Garamond"/>
          <w:sz w:val="24"/>
          <w:szCs w:val="24"/>
        </w:rPr>
        <w:t>th</w:t>
      </w:r>
      <w:r w:rsidR="00D35AD0">
        <w:rPr>
          <w:rFonts w:ascii="Garamond" w:hAnsi="Garamond"/>
          <w:sz w:val="24"/>
          <w:szCs w:val="24"/>
        </w:rPr>
        <w:t xml:space="preserve">at state’s </w:t>
      </w:r>
      <w:r w:rsidRPr="00132FBE">
        <w:rPr>
          <w:rFonts w:ascii="Garamond" w:hAnsi="Garamond"/>
          <w:sz w:val="24"/>
          <w:szCs w:val="24"/>
        </w:rPr>
        <w:t>consent</w:t>
      </w:r>
      <w:r w:rsidR="00D35AD0">
        <w:rPr>
          <w:rFonts w:ascii="Garamond" w:hAnsi="Garamond"/>
          <w:sz w:val="24"/>
          <w:szCs w:val="24"/>
        </w:rPr>
        <w:t>,</w:t>
      </w:r>
      <w:r w:rsidRPr="00132FBE">
        <w:rPr>
          <w:rFonts w:ascii="Garamond" w:hAnsi="Garamond"/>
          <w:sz w:val="24"/>
          <w:szCs w:val="24"/>
        </w:rPr>
        <w:t xml:space="preserve"> </w:t>
      </w:r>
      <w:r w:rsidR="008919DA">
        <w:rPr>
          <w:rFonts w:ascii="Garamond" w:hAnsi="Garamond"/>
          <w:sz w:val="24"/>
          <w:szCs w:val="24"/>
        </w:rPr>
        <w:t>under</w:t>
      </w:r>
      <w:r>
        <w:rPr>
          <w:rFonts w:ascii="Garamond" w:hAnsi="Garamond"/>
          <w:sz w:val="24"/>
          <w:szCs w:val="24"/>
        </w:rPr>
        <w:t xml:space="preserve"> the doctrine of </w:t>
      </w:r>
      <w:r w:rsidR="008919DA">
        <w:rPr>
          <w:rFonts w:ascii="Garamond" w:hAnsi="Garamond"/>
          <w:sz w:val="24"/>
          <w:szCs w:val="24"/>
        </w:rPr>
        <w:t>‘</w:t>
      </w:r>
      <w:r>
        <w:rPr>
          <w:rFonts w:ascii="Garamond" w:hAnsi="Garamond"/>
          <w:sz w:val="24"/>
          <w:szCs w:val="24"/>
        </w:rPr>
        <w:t>intervention by invitation</w:t>
      </w:r>
      <w:r w:rsidR="008919DA">
        <w:rPr>
          <w:rFonts w:ascii="Garamond" w:hAnsi="Garamond"/>
          <w:sz w:val="24"/>
          <w:szCs w:val="24"/>
        </w:rPr>
        <w:t>’</w:t>
      </w:r>
      <w:r w:rsidR="00D35AD0">
        <w:rPr>
          <w:rFonts w:ascii="Garamond" w:hAnsi="Garamond"/>
          <w:sz w:val="24"/>
          <w:szCs w:val="24"/>
        </w:rPr>
        <w:t xml:space="preserve">. </w:t>
      </w:r>
      <w:r w:rsidR="005841DD">
        <w:rPr>
          <w:rFonts w:ascii="Garamond" w:hAnsi="Garamond"/>
          <w:sz w:val="24"/>
          <w:szCs w:val="24"/>
        </w:rPr>
        <w:t xml:space="preserve">This </w:t>
      </w:r>
      <w:r w:rsidR="008919DA">
        <w:rPr>
          <w:rFonts w:ascii="Garamond" w:hAnsi="Garamond"/>
          <w:sz w:val="24"/>
          <w:szCs w:val="24"/>
        </w:rPr>
        <w:t>is not</w:t>
      </w:r>
      <w:r w:rsidRPr="00132FBE">
        <w:rPr>
          <w:rFonts w:ascii="Garamond" w:hAnsi="Garamond"/>
          <w:sz w:val="24"/>
          <w:szCs w:val="24"/>
        </w:rPr>
        <w:t xml:space="preserve"> </w:t>
      </w:r>
      <w:r w:rsidR="005841DD">
        <w:rPr>
          <w:rFonts w:ascii="Garamond" w:hAnsi="Garamond"/>
          <w:sz w:val="24"/>
          <w:szCs w:val="24"/>
        </w:rPr>
        <w:t>construed as</w:t>
      </w:r>
      <w:r w:rsidR="005841DD" w:rsidRPr="00132FBE">
        <w:rPr>
          <w:rFonts w:ascii="Garamond" w:hAnsi="Garamond"/>
          <w:sz w:val="24"/>
          <w:szCs w:val="24"/>
        </w:rPr>
        <w:t xml:space="preserve"> </w:t>
      </w:r>
      <w:r w:rsidRPr="00132FBE">
        <w:rPr>
          <w:rFonts w:ascii="Garamond" w:hAnsi="Garamond"/>
          <w:sz w:val="24"/>
          <w:szCs w:val="24"/>
        </w:rPr>
        <w:t xml:space="preserve">a ‘use of force’ in ‘international relations’ as </w:t>
      </w:r>
      <w:r w:rsidR="0091207B">
        <w:rPr>
          <w:rFonts w:ascii="Garamond" w:hAnsi="Garamond"/>
          <w:sz w:val="24"/>
          <w:szCs w:val="24"/>
        </w:rPr>
        <w:t>prohibited</w:t>
      </w:r>
      <w:r w:rsidRPr="00132FBE">
        <w:rPr>
          <w:rFonts w:ascii="Garamond" w:hAnsi="Garamond"/>
          <w:sz w:val="24"/>
          <w:szCs w:val="24"/>
        </w:rPr>
        <w:t xml:space="preserve"> in art. 2(4)</w:t>
      </w:r>
      <w:r w:rsidR="005841DD">
        <w:rPr>
          <w:rFonts w:ascii="Garamond" w:hAnsi="Garamond"/>
          <w:sz w:val="24"/>
          <w:szCs w:val="24"/>
        </w:rPr>
        <w:t>,</w:t>
      </w:r>
      <w:r w:rsidRPr="00132FBE">
        <w:rPr>
          <w:rFonts w:ascii="Garamond" w:hAnsi="Garamond"/>
          <w:sz w:val="24"/>
          <w:szCs w:val="24"/>
        </w:rPr>
        <w:t xml:space="preserve"> and th</w:t>
      </w:r>
      <w:r w:rsidR="005841DD">
        <w:rPr>
          <w:rFonts w:ascii="Garamond" w:hAnsi="Garamond"/>
          <w:sz w:val="24"/>
          <w:szCs w:val="24"/>
        </w:rPr>
        <w:t>us</w:t>
      </w:r>
      <w:r w:rsidRPr="00132FBE">
        <w:rPr>
          <w:rFonts w:ascii="Garamond" w:hAnsi="Garamond"/>
          <w:sz w:val="24"/>
          <w:szCs w:val="24"/>
        </w:rPr>
        <w:t xml:space="preserve"> </w:t>
      </w:r>
      <w:r w:rsidR="008919DA">
        <w:rPr>
          <w:rFonts w:ascii="Garamond" w:hAnsi="Garamond"/>
          <w:sz w:val="24"/>
          <w:szCs w:val="24"/>
        </w:rPr>
        <w:t xml:space="preserve">is </w:t>
      </w:r>
      <w:r w:rsidRPr="00132FBE">
        <w:rPr>
          <w:rFonts w:ascii="Garamond" w:hAnsi="Garamond"/>
          <w:sz w:val="24"/>
          <w:szCs w:val="24"/>
        </w:rPr>
        <w:t>not considered a violation of or exception to art. 2(4).</w:t>
      </w:r>
      <w:r w:rsidRPr="00D56AF5">
        <w:rPr>
          <w:rStyle w:val="FootnoteReference"/>
          <w:rFonts w:ascii="Garamond" w:hAnsi="Garamond"/>
          <w:sz w:val="24"/>
          <w:szCs w:val="24"/>
          <w:lang w:val="en-US"/>
        </w:rPr>
        <w:footnoteReference w:id="2"/>
      </w:r>
      <w:r w:rsidRPr="00D56AF5">
        <w:rPr>
          <w:rFonts w:ascii="Garamond" w:hAnsi="Garamond"/>
          <w:sz w:val="24"/>
          <w:szCs w:val="24"/>
          <w:lang w:val="en-US"/>
        </w:rPr>
        <w:t xml:space="preserve">  </w:t>
      </w:r>
    </w:p>
    <w:p w14:paraId="7D07AB47" w14:textId="19EC8E81" w:rsidR="00132FBE" w:rsidRDefault="00132FBE" w:rsidP="001340AF">
      <w:pPr>
        <w:spacing w:after="120" w:line="480" w:lineRule="auto"/>
        <w:jc w:val="both"/>
        <w:rPr>
          <w:rFonts w:ascii="Garamond" w:hAnsi="Garamond"/>
          <w:sz w:val="24"/>
          <w:szCs w:val="24"/>
          <w:lang w:val="en-US"/>
        </w:rPr>
      </w:pPr>
      <w:r>
        <w:rPr>
          <w:rFonts w:ascii="Garamond" w:hAnsi="Garamond"/>
          <w:sz w:val="24"/>
          <w:szCs w:val="24"/>
          <w:lang w:val="en-US"/>
        </w:rPr>
        <w:t>In line with th</w:t>
      </w:r>
      <w:r w:rsidR="0091207B">
        <w:rPr>
          <w:rFonts w:ascii="Garamond" w:hAnsi="Garamond"/>
          <w:sz w:val="24"/>
          <w:szCs w:val="24"/>
          <w:lang w:val="en-US"/>
        </w:rPr>
        <w:t>e</w:t>
      </w:r>
      <w:r>
        <w:rPr>
          <w:rFonts w:ascii="Garamond" w:hAnsi="Garamond"/>
          <w:sz w:val="24"/>
          <w:szCs w:val="24"/>
          <w:lang w:val="en-US"/>
        </w:rPr>
        <w:t xml:space="preserve"> doctrine of intervention by invitation, some scholars</w:t>
      </w:r>
      <w:r w:rsidRPr="00D56AF5">
        <w:rPr>
          <w:rFonts w:ascii="Garamond" w:hAnsi="Garamond"/>
          <w:sz w:val="24"/>
          <w:szCs w:val="24"/>
          <w:lang w:val="en-US"/>
        </w:rPr>
        <w:t xml:space="preserve"> argued that the deployment could be justified under article 25 of the 1999 Lome Protocol, which </w:t>
      </w:r>
      <w:r>
        <w:rPr>
          <w:rFonts w:ascii="Garamond" w:hAnsi="Garamond"/>
          <w:sz w:val="24"/>
          <w:szCs w:val="24"/>
          <w:lang w:val="en-US"/>
        </w:rPr>
        <w:t>provides a standing authorization to</w:t>
      </w:r>
      <w:r w:rsidRPr="00D56AF5">
        <w:rPr>
          <w:rFonts w:ascii="Garamond" w:hAnsi="Garamond"/>
          <w:sz w:val="24"/>
          <w:szCs w:val="24"/>
          <w:lang w:val="en-US"/>
        </w:rPr>
        <w:t xml:space="preserve"> ECOWAS to intervene in any member state (including Niger, at that point) if a democratically elected government is overthrown.</w:t>
      </w:r>
      <w:r w:rsidRPr="00D56AF5">
        <w:rPr>
          <w:rStyle w:val="FootnoteReference"/>
          <w:rFonts w:ascii="Garamond" w:hAnsi="Garamond"/>
          <w:sz w:val="24"/>
          <w:szCs w:val="24"/>
          <w:lang w:val="en-US"/>
        </w:rPr>
        <w:footnoteReference w:id="3"/>
      </w:r>
      <w:r w:rsidRPr="00D56AF5">
        <w:rPr>
          <w:rFonts w:ascii="Garamond" w:hAnsi="Garamond"/>
          <w:sz w:val="24"/>
          <w:szCs w:val="24"/>
          <w:lang w:val="en-US"/>
        </w:rPr>
        <w:t xml:space="preserve"> Article 25 was </w:t>
      </w:r>
      <w:r w:rsidR="00CD6381">
        <w:rPr>
          <w:rFonts w:ascii="Garamond" w:hAnsi="Garamond"/>
          <w:sz w:val="24"/>
          <w:szCs w:val="24"/>
          <w:lang w:val="en-US"/>
        </w:rPr>
        <w:t xml:space="preserve">thus </w:t>
      </w:r>
      <w:r w:rsidRPr="00D56AF5">
        <w:rPr>
          <w:rFonts w:ascii="Garamond" w:hAnsi="Garamond"/>
          <w:sz w:val="24"/>
          <w:szCs w:val="24"/>
          <w:lang w:val="en-US"/>
        </w:rPr>
        <w:t xml:space="preserve">supposed to have conferred </w:t>
      </w:r>
      <w:r>
        <w:rPr>
          <w:rFonts w:ascii="Garamond" w:hAnsi="Garamond"/>
          <w:sz w:val="24"/>
          <w:szCs w:val="24"/>
          <w:lang w:val="en-US"/>
        </w:rPr>
        <w:t xml:space="preserve">ECOWAS with </w:t>
      </w:r>
      <w:r w:rsidRPr="00D56AF5">
        <w:rPr>
          <w:rFonts w:ascii="Garamond" w:hAnsi="Garamond"/>
          <w:sz w:val="24"/>
          <w:szCs w:val="24"/>
          <w:lang w:val="en-US"/>
        </w:rPr>
        <w:t xml:space="preserve">a </w:t>
      </w:r>
      <w:r>
        <w:rPr>
          <w:rFonts w:ascii="Garamond" w:hAnsi="Garamond"/>
          <w:sz w:val="24"/>
          <w:szCs w:val="24"/>
          <w:lang w:val="en-US"/>
        </w:rPr>
        <w:t>‘</w:t>
      </w:r>
      <w:r w:rsidRPr="00D56AF5">
        <w:rPr>
          <w:rFonts w:ascii="Garamond" w:hAnsi="Garamond"/>
          <w:sz w:val="24"/>
          <w:szCs w:val="24"/>
          <w:lang w:val="en-US"/>
        </w:rPr>
        <w:t>right</w:t>
      </w:r>
      <w:r>
        <w:rPr>
          <w:rFonts w:ascii="Garamond" w:hAnsi="Garamond"/>
          <w:sz w:val="24"/>
          <w:szCs w:val="24"/>
          <w:lang w:val="en-US"/>
        </w:rPr>
        <w:t>’</w:t>
      </w:r>
      <w:r w:rsidRPr="00D56AF5">
        <w:rPr>
          <w:rFonts w:ascii="Garamond" w:hAnsi="Garamond"/>
          <w:sz w:val="24"/>
          <w:szCs w:val="24"/>
          <w:lang w:val="en-US"/>
        </w:rPr>
        <w:t xml:space="preserve"> of intervention </w:t>
      </w:r>
      <w:r>
        <w:rPr>
          <w:rFonts w:ascii="Garamond" w:hAnsi="Garamond"/>
          <w:sz w:val="24"/>
          <w:szCs w:val="24"/>
          <w:lang w:val="en-US"/>
        </w:rPr>
        <w:t>in t</w:t>
      </w:r>
      <w:r w:rsidRPr="00D56AF5">
        <w:rPr>
          <w:rFonts w:ascii="Garamond" w:hAnsi="Garamond"/>
          <w:sz w:val="24"/>
          <w:szCs w:val="24"/>
          <w:lang w:val="en-US"/>
        </w:rPr>
        <w:t>he event of a coup</w:t>
      </w:r>
      <w:r w:rsidR="00CD6381">
        <w:rPr>
          <w:rFonts w:ascii="Garamond" w:hAnsi="Garamond"/>
          <w:sz w:val="24"/>
          <w:szCs w:val="24"/>
          <w:lang w:val="en-US"/>
        </w:rPr>
        <w:t>,</w:t>
      </w:r>
      <w:r w:rsidR="0091207B">
        <w:rPr>
          <w:rFonts w:ascii="Garamond" w:hAnsi="Garamond"/>
          <w:sz w:val="24"/>
          <w:szCs w:val="24"/>
          <w:lang w:val="en-US"/>
        </w:rPr>
        <w:t xml:space="preserve"> </w:t>
      </w:r>
      <w:r w:rsidRPr="00D56AF5">
        <w:rPr>
          <w:rFonts w:ascii="Garamond" w:hAnsi="Garamond"/>
          <w:sz w:val="24"/>
          <w:szCs w:val="24"/>
          <w:lang w:val="en-US"/>
        </w:rPr>
        <w:t>making any use or threat to use force against Niger legal, if it aimed at reinstating Bazoum.</w:t>
      </w:r>
      <w:r w:rsidR="0091207B" w:rsidRPr="00D56AF5">
        <w:rPr>
          <w:rStyle w:val="FootnoteReference"/>
          <w:rFonts w:ascii="Garamond" w:hAnsi="Garamond"/>
          <w:sz w:val="24"/>
          <w:szCs w:val="24"/>
          <w:lang w:val="en-US"/>
        </w:rPr>
        <w:footnoteReference w:id="4"/>
      </w:r>
      <w:r w:rsidR="0091207B" w:rsidRPr="00D56AF5">
        <w:rPr>
          <w:rFonts w:ascii="Garamond" w:hAnsi="Garamond"/>
          <w:sz w:val="24"/>
          <w:szCs w:val="24"/>
          <w:lang w:val="en-US"/>
        </w:rPr>
        <w:t xml:space="preserve"> </w:t>
      </w:r>
      <w:r w:rsidRPr="00D56AF5">
        <w:rPr>
          <w:rFonts w:ascii="Garamond" w:hAnsi="Garamond"/>
          <w:sz w:val="24"/>
          <w:szCs w:val="24"/>
          <w:lang w:val="en-US"/>
        </w:rPr>
        <w:t xml:space="preserve"> </w:t>
      </w:r>
    </w:p>
    <w:p w14:paraId="258FD974" w14:textId="0E5EAB59" w:rsidR="00C110F2" w:rsidRDefault="00B666A1" w:rsidP="001340AF">
      <w:pPr>
        <w:spacing w:after="120" w:line="480" w:lineRule="auto"/>
        <w:jc w:val="both"/>
        <w:rPr>
          <w:rFonts w:ascii="Garamond" w:hAnsi="Garamond"/>
          <w:bCs/>
          <w:sz w:val="24"/>
          <w:szCs w:val="24"/>
          <w:lang w:val="en-US"/>
        </w:rPr>
      </w:pPr>
      <w:r>
        <w:rPr>
          <w:rFonts w:ascii="Garamond" w:hAnsi="Garamond"/>
          <w:sz w:val="24"/>
          <w:szCs w:val="24"/>
          <w:lang w:val="en-US"/>
        </w:rPr>
        <w:t>Such</w:t>
      </w:r>
      <w:r w:rsidR="00132FBE">
        <w:rPr>
          <w:rFonts w:ascii="Garamond" w:hAnsi="Garamond"/>
          <w:sz w:val="24"/>
          <w:szCs w:val="24"/>
          <w:lang w:val="en-US"/>
        </w:rPr>
        <w:t xml:space="preserve"> standing authorizations for pro-democratic interventions (i.e., interventions aimed at reinstating </w:t>
      </w:r>
      <w:r w:rsidR="00D35AD0">
        <w:rPr>
          <w:rFonts w:ascii="Garamond" w:hAnsi="Garamond"/>
          <w:sz w:val="24"/>
          <w:szCs w:val="24"/>
          <w:lang w:val="en-US"/>
        </w:rPr>
        <w:t xml:space="preserve">ousted </w:t>
      </w:r>
      <w:r w:rsidR="00132FBE" w:rsidRPr="00D56AF5">
        <w:rPr>
          <w:rFonts w:ascii="Garamond" w:hAnsi="Garamond"/>
          <w:sz w:val="24"/>
          <w:szCs w:val="24"/>
          <w:lang w:val="en-US"/>
        </w:rPr>
        <w:t>democratically</w:t>
      </w:r>
      <w:r w:rsidR="00CD6381">
        <w:rPr>
          <w:rFonts w:ascii="Garamond" w:hAnsi="Garamond"/>
          <w:sz w:val="24"/>
          <w:szCs w:val="24"/>
          <w:lang w:val="en-US"/>
        </w:rPr>
        <w:t>-</w:t>
      </w:r>
      <w:r w:rsidR="00132FBE" w:rsidRPr="00D56AF5">
        <w:rPr>
          <w:rFonts w:ascii="Garamond" w:hAnsi="Garamond"/>
          <w:sz w:val="24"/>
          <w:szCs w:val="24"/>
          <w:lang w:val="en-US"/>
        </w:rPr>
        <w:t>elected leaders</w:t>
      </w:r>
      <w:r w:rsidR="00132FBE">
        <w:rPr>
          <w:rFonts w:ascii="Garamond" w:hAnsi="Garamond"/>
          <w:sz w:val="24"/>
          <w:szCs w:val="24"/>
          <w:lang w:val="en-US"/>
        </w:rPr>
        <w:t>), stand in contrast to authorizations for humanitarian interventions</w:t>
      </w:r>
      <w:r w:rsidR="00CD6381">
        <w:rPr>
          <w:rFonts w:ascii="Garamond" w:hAnsi="Garamond"/>
          <w:sz w:val="24"/>
          <w:szCs w:val="24"/>
          <w:lang w:val="en-US"/>
        </w:rPr>
        <w:t xml:space="preserve"> (</w:t>
      </w:r>
      <w:r w:rsidR="00132FBE">
        <w:rPr>
          <w:rFonts w:ascii="Garamond" w:hAnsi="Garamond"/>
          <w:sz w:val="24"/>
          <w:szCs w:val="24"/>
          <w:lang w:val="en-US"/>
        </w:rPr>
        <w:t xml:space="preserve">where the intervention seeks </w:t>
      </w:r>
      <w:r w:rsidR="00132FBE" w:rsidRPr="00D56AF5">
        <w:rPr>
          <w:rFonts w:ascii="Garamond" w:hAnsi="Garamond"/>
          <w:sz w:val="24"/>
          <w:szCs w:val="24"/>
          <w:lang w:val="en-US"/>
        </w:rPr>
        <w:t xml:space="preserve">to </w:t>
      </w:r>
      <w:r w:rsidR="00132FBE">
        <w:rPr>
          <w:rFonts w:ascii="Garamond" w:hAnsi="Garamond"/>
          <w:sz w:val="24"/>
          <w:szCs w:val="24"/>
          <w:lang w:val="en-US"/>
        </w:rPr>
        <w:t xml:space="preserve">end </w:t>
      </w:r>
      <w:r w:rsidR="00132FBE" w:rsidRPr="00D56AF5">
        <w:rPr>
          <w:rFonts w:ascii="Garamond" w:hAnsi="Garamond"/>
          <w:sz w:val="24"/>
          <w:szCs w:val="24"/>
          <w:lang w:val="en-US"/>
        </w:rPr>
        <w:t>the commission of the gravest international crimes</w:t>
      </w:r>
      <w:r w:rsidR="00CD6381">
        <w:rPr>
          <w:rFonts w:ascii="Garamond" w:hAnsi="Garamond"/>
          <w:sz w:val="24"/>
          <w:szCs w:val="24"/>
          <w:lang w:val="en-US"/>
        </w:rPr>
        <w:t>)</w:t>
      </w:r>
      <w:r w:rsidR="00132FBE">
        <w:rPr>
          <w:rFonts w:ascii="Garamond" w:hAnsi="Garamond"/>
          <w:sz w:val="24"/>
          <w:szCs w:val="24"/>
          <w:lang w:val="en-US"/>
        </w:rPr>
        <w:t>.</w:t>
      </w:r>
      <w:r w:rsidR="00132FBE" w:rsidRPr="00D56AF5">
        <w:rPr>
          <w:rStyle w:val="FootnoteReference"/>
          <w:rFonts w:ascii="Garamond" w:hAnsi="Garamond"/>
          <w:sz w:val="24"/>
          <w:szCs w:val="24"/>
          <w:lang w:val="en-US"/>
        </w:rPr>
        <w:footnoteReference w:id="5"/>
      </w:r>
      <w:r w:rsidR="00132FBE" w:rsidRPr="00D56AF5">
        <w:rPr>
          <w:rFonts w:ascii="Garamond" w:hAnsi="Garamond"/>
          <w:sz w:val="24"/>
          <w:szCs w:val="24"/>
          <w:lang w:val="en-US"/>
        </w:rPr>
        <w:t xml:space="preserve"> </w:t>
      </w:r>
      <w:r w:rsidR="00E05CE6">
        <w:rPr>
          <w:rFonts w:ascii="Garamond" w:hAnsi="Garamond"/>
          <w:sz w:val="24"/>
          <w:szCs w:val="24"/>
          <w:lang w:val="en-US"/>
        </w:rPr>
        <w:t xml:space="preserve">While legal </w:t>
      </w:r>
      <w:r w:rsidR="001034F6" w:rsidRPr="003D1849">
        <w:rPr>
          <w:rFonts w:ascii="Garamond" w:hAnsi="Garamond"/>
          <w:bCs/>
          <w:sz w:val="24"/>
          <w:szCs w:val="24"/>
          <w:lang w:val="en-US"/>
        </w:rPr>
        <w:t>argument</w:t>
      </w:r>
      <w:r w:rsidR="00E05CE6">
        <w:rPr>
          <w:rFonts w:ascii="Garamond" w:hAnsi="Garamond"/>
          <w:bCs/>
          <w:sz w:val="24"/>
          <w:szCs w:val="24"/>
          <w:lang w:val="en-US"/>
        </w:rPr>
        <w:t>s</w:t>
      </w:r>
      <w:r w:rsidR="001034F6" w:rsidRPr="003D1849">
        <w:rPr>
          <w:rFonts w:ascii="Garamond" w:hAnsi="Garamond"/>
          <w:bCs/>
          <w:sz w:val="24"/>
          <w:szCs w:val="24"/>
          <w:lang w:val="en-US"/>
        </w:rPr>
        <w:t xml:space="preserve"> </w:t>
      </w:r>
      <w:r w:rsidR="00E05CE6">
        <w:rPr>
          <w:rFonts w:ascii="Garamond" w:hAnsi="Garamond"/>
          <w:bCs/>
          <w:sz w:val="24"/>
          <w:szCs w:val="24"/>
          <w:lang w:val="en-US"/>
        </w:rPr>
        <w:t xml:space="preserve">have </w:t>
      </w:r>
      <w:r w:rsidR="001034F6" w:rsidRPr="003D1849">
        <w:rPr>
          <w:rFonts w:ascii="Garamond" w:hAnsi="Garamond"/>
          <w:bCs/>
          <w:sz w:val="24"/>
          <w:szCs w:val="24"/>
          <w:lang w:val="en-US"/>
        </w:rPr>
        <w:t xml:space="preserve">been advanced </w:t>
      </w:r>
      <w:r w:rsidR="00E05CE6">
        <w:rPr>
          <w:rFonts w:ascii="Garamond" w:hAnsi="Garamond"/>
          <w:bCs/>
          <w:sz w:val="24"/>
          <w:szCs w:val="24"/>
          <w:lang w:val="en-US"/>
        </w:rPr>
        <w:t xml:space="preserve">for </w:t>
      </w:r>
      <w:r w:rsidR="001034F6" w:rsidRPr="003D1849">
        <w:rPr>
          <w:rFonts w:ascii="Garamond" w:hAnsi="Garamond"/>
          <w:bCs/>
          <w:sz w:val="24"/>
          <w:szCs w:val="24"/>
          <w:lang w:val="en-US"/>
        </w:rPr>
        <w:t xml:space="preserve">treaty-based standing </w:t>
      </w:r>
      <w:r w:rsidR="001034F6" w:rsidRPr="003D1849">
        <w:rPr>
          <w:rFonts w:ascii="Garamond" w:hAnsi="Garamond"/>
          <w:bCs/>
          <w:sz w:val="24"/>
          <w:szCs w:val="24"/>
          <w:lang w:val="en-US"/>
        </w:rPr>
        <w:lastRenderedPageBreak/>
        <w:t>authorization</w:t>
      </w:r>
      <w:r w:rsidR="00E05CE6">
        <w:rPr>
          <w:rFonts w:ascii="Garamond" w:hAnsi="Garamond"/>
          <w:bCs/>
          <w:sz w:val="24"/>
          <w:szCs w:val="24"/>
          <w:lang w:val="en-US"/>
        </w:rPr>
        <w:t>s</w:t>
      </w:r>
      <w:r w:rsidR="001034F6" w:rsidRPr="003D1849">
        <w:rPr>
          <w:rFonts w:ascii="Garamond" w:hAnsi="Garamond"/>
          <w:bCs/>
          <w:sz w:val="24"/>
          <w:szCs w:val="24"/>
          <w:lang w:val="en-US"/>
        </w:rPr>
        <w:t xml:space="preserve"> </w:t>
      </w:r>
      <w:r w:rsidR="00E05CE6">
        <w:rPr>
          <w:rFonts w:ascii="Garamond" w:hAnsi="Garamond"/>
          <w:bCs/>
          <w:sz w:val="24"/>
          <w:szCs w:val="24"/>
          <w:lang w:val="en-US"/>
        </w:rPr>
        <w:t xml:space="preserve">to </w:t>
      </w:r>
      <w:r w:rsidR="001034F6" w:rsidRPr="003D1849">
        <w:rPr>
          <w:rFonts w:ascii="Garamond" w:hAnsi="Garamond"/>
          <w:bCs/>
          <w:sz w:val="24"/>
          <w:szCs w:val="24"/>
          <w:lang w:val="en-US"/>
        </w:rPr>
        <w:t>serve as standalone bas</w:t>
      </w:r>
      <w:r w:rsidR="00E05CE6">
        <w:rPr>
          <w:rFonts w:ascii="Garamond" w:hAnsi="Garamond"/>
          <w:bCs/>
          <w:sz w:val="24"/>
          <w:szCs w:val="24"/>
          <w:lang w:val="en-US"/>
        </w:rPr>
        <w:t>es</w:t>
      </w:r>
      <w:r w:rsidR="001034F6" w:rsidRPr="003D1849">
        <w:rPr>
          <w:rFonts w:ascii="Garamond" w:hAnsi="Garamond"/>
          <w:bCs/>
          <w:sz w:val="24"/>
          <w:szCs w:val="24"/>
          <w:lang w:val="en-US"/>
        </w:rPr>
        <w:t xml:space="preserve"> for intervention</w:t>
      </w:r>
      <w:r w:rsidR="001034F6" w:rsidRPr="003D1849">
        <w:rPr>
          <w:rStyle w:val="FootnoteReference"/>
          <w:rFonts w:ascii="Garamond" w:hAnsi="Garamond"/>
          <w:bCs/>
          <w:sz w:val="24"/>
          <w:szCs w:val="24"/>
          <w:lang w:val="en-US"/>
        </w:rPr>
        <w:footnoteReference w:id="6"/>
      </w:r>
      <w:r w:rsidR="001034F6" w:rsidRPr="003D1849">
        <w:rPr>
          <w:rFonts w:ascii="Garamond" w:hAnsi="Garamond"/>
          <w:bCs/>
          <w:sz w:val="24"/>
          <w:szCs w:val="24"/>
          <w:lang w:val="en-US"/>
        </w:rPr>
        <w:t xml:space="preserve"> (hereafter referred to as the ‘Prior Consent Route’), certain authors still insist that standing authorizations must be bolstered by</w:t>
      </w:r>
      <w:r w:rsidR="003C1824" w:rsidRPr="003D1849">
        <w:rPr>
          <w:rFonts w:ascii="Garamond" w:hAnsi="Garamond"/>
          <w:bCs/>
          <w:sz w:val="24"/>
          <w:szCs w:val="24"/>
          <w:lang w:val="en-US"/>
        </w:rPr>
        <w:t xml:space="preserve"> prior UNSC authorization or the </w:t>
      </w:r>
      <w:r w:rsidR="001034F6" w:rsidRPr="003D1849">
        <w:rPr>
          <w:rFonts w:ascii="Garamond" w:hAnsi="Garamond"/>
          <w:bCs/>
          <w:sz w:val="24"/>
          <w:szCs w:val="24"/>
          <w:lang w:val="en-US"/>
        </w:rPr>
        <w:t>ad hoc consent of the rightful head of the concerned state</w:t>
      </w:r>
      <w:r w:rsidR="001034F6" w:rsidRPr="003D1849">
        <w:rPr>
          <w:rStyle w:val="FootnoteReference"/>
          <w:rFonts w:ascii="Garamond" w:hAnsi="Garamond"/>
          <w:bCs/>
          <w:sz w:val="24"/>
          <w:szCs w:val="24"/>
          <w:lang w:val="en-US"/>
        </w:rPr>
        <w:footnoteReference w:id="7"/>
      </w:r>
      <w:r w:rsidR="001034F6" w:rsidRPr="003D1849">
        <w:rPr>
          <w:rFonts w:ascii="Garamond" w:hAnsi="Garamond"/>
          <w:bCs/>
          <w:sz w:val="24"/>
          <w:szCs w:val="24"/>
          <w:lang w:val="en-US"/>
        </w:rPr>
        <w:t xml:space="preserve"> (hereafter called the ‘Ad Hoc Authorization Route’). </w:t>
      </w:r>
    </w:p>
    <w:p w14:paraId="1C79D3BA" w14:textId="5F223800" w:rsidR="003D1849" w:rsidRDefault="00E05CE6" w:rsidP="001340AF">
      <w:pPr>
        <w:spacing w:after="120" w:line="480" w:lineRule="auto"/>
        <w:jc w:val="both"/>
        <w:rPr>
          <w:rFonts w:ascii="Garamond" w:hAnsi="Garamond"/>
          <w:bCs/>
          <w:sz w:val="24"/>
          <w:szCs w:val="24"/>
          <w:lang w:val="en-US"/>
        </w:rPr>
      </w:pPr>
      <w:r w:rsidRPr="00D56AF5">
        <w:rPr>
          <w:rFonts w:ascii="Garamond" w:hAnsi="Garamond"/>
          <w:sz w:val="24"/>
          <w:szCs w:val="24"/>
          <w:lang w:val="en-US"/>
        </w:rPr>
        <w:t>In this paper</w:t>
      </w:r>
      <w:r>
        <w:rPr>
          <w:rFonts w:ascii="Garamond" w:hAnsi="Garamond"/>
          <w:sz w:val="24"/>
          <w:szCs w:val="24"/>
          <w:lang w:val="en-US"/>
        </w:rPr>
        <w:t>, I</w:t>
      </w:r>
      <w:r w:rsidRPr="00D56AF5">
        <w:rPr>
          <w:rFonts w:ascii="Garamond" w:hAnsi="Garamond"/>
          <w:sz w:val="24"/>
          <w:szCs w:val="24"/>
          <w:lang w:val="en-US"/>
        </w:rPr>
        <w:t xml:space="preserve"> will</w:t>
      </w:r>
      <w:r>
        <w:rPr>
          <w:rFonts w:ascii="Garamond" w:hAnsi="Garamond"/>
          <w:sz w:val="24"/>
          <w:szCs w:val="24"/>
          <w:lang w:val="en-US"/>
        </w:rPr>
        <w:t xml:space="preserve"> not wade into the legal debates surrounding these provisions. Instead, I will assess </w:t>
      </w:r>
      <w:r w:rsidR="00B666A1">
        <w:rPr>
          <w:rFonts w:ascii="Garamond" w:hAnsi="Garamond"/>
          <w:sz w:val="24"/>
          <w:szCs w:val="24"/>
          <w:lang w:val="en-US"/>
        </w:rPr>
        <w:t xml:space="preserve">the </w:t>
      </w:r>
      <w:r>
        <w:rPr>
          <w:rFonts w:ascii="Garamond" w:hAnsi="Garamond"/>
          <w:sz w:val="24"/>
          <w:szCs w:val="24"/>
          <w:lang w:val="en-US"/>
        </w:rPr>
        <w:t>normative desirability</w:t>
      </w:r>
      <w:r w:rsidR="00B666A1">
        <w:rPr>
          <w:rFonts w:ascii="Garamond" w:hAnsi="Garamond"/>
          <w:sz w:val="24"/>
          <w:szCs w:val="24"/>
          <w:lang w:val="en-US"/>
        </w:rPr>
        <w:t xml:space="preserve"> of the two routes </w:t>
      </w:r>
      <w:r w:rsidR="0091207B">
        <w:rPr>
          <w:rFonts w:ascii="Garamond" w:hAnsi="Garamond"/>
          <w:sz w:val="24"/>
          <w:szCs w:val="24"/>
          <w:lang w:val="en-US"/>
        </w:rPr>
        <w:t xml:space="preserve">in respect of </w:t>
      </w:r>
      <w:r w:rsidRPr="00D56AF5">
        <w:rPr>
          <w:rFonts w:ascii="Garamond" w:hAnsi="Garamond"/>
          <w:sz w:val="24"/>
          <w:szCs w:val="24"/>
          <w:lang w:val="en-US"/>
        </w:rPr>
        <w:t>pro-democratic interventions</w:t>
      </w:r>
      <w:r>
        <w:rPr>
          <w:rFonts w:ascii="Garamond" w:hAnsi="Garamond"/>
          <w:sz w:val="24"/>
          <w:szCs w:val="24"/>
          <w:lang w:val="en-US"/>
        </w:rPr>
        <w:t>.</w:t>
      </w:r>
      <w:r w:rsidRPr="00D56AF5">
        <w:rPr>
          <w:rStyle w:val="FootnoteReference"/>
          <w:rFonts w:ascii="Garamond" w:hAnsi="Garamond"/>
          <w:sz w:val="24"/>
          <w:szCs w:val="24"/>
          <w:lang w:val="en-US"/>
        </w:rPr>
        <w:footnoteReference w:id="8"/>
      </w:r>
      <w:r w:rsidRPr="00D56AF5">
        <w:rPr>
          <w:rFonts w:ascii="Garamond" w:hAnsi="Garamond"/>
          <w:sz w:val="24"/>
          <w:szCs w:val="24"/>
          <w:lang w:val="en-US"/>
        </w:rPr>
        <w:t xml:space="preserve"> </w:t>
      </w:r>
      <w:r w:rsidRPr="00A44A18">
        <w:rPr>
          <w:rFonts w:ascii="Garamond" w:hAnsi="Garamond"/>
          <w:sz w:val="24"/>
          <w:szCs w:val="24"/>
          <w:lang w:val="en-US"/>
        </w:rPr>
        <w:t>The</w:t>
      </w:r>
      <w:r>
        <w:rPr>
          <w:rFonts w:ascii="Garamond" w:hAnsi="Garamond"/>
          <w:sz w:val="24"/>
          <w:szCs w:val="24"/>
          <w:lang w:val="en-US"/>
        </w:rPr>
        <w:t xml:space="preserve"> situation in Niger is a useful launchpad for </w:t>
      </w:r>
      <w:r w:rsidR="0091207B">
        <w:rPr>
          <w:rFonts w:ascii="Garamond" w:hAnsi="Garamond"/>
          <w:sz w:val="24"/>
          <w:szCs w:val="24"/>
          <w:lang w:val="en-US"/>
        </w:rPr>
        <w:t>a</w:t>
      </w:r>
      <w:r>
        <w:rPr>
          <w:rFonts w:ascii="Garamond" w:hAnsi="Garamond"/>
          <w:sz w:val="24"/>
          <w:szCs w:val="24"/>
          <w:lang w:val="en-US"/>
        </w:rPr>
        <w:t xml:space="preserve"> discussion</w:t>
      </w:r>
      <w:r w:rsidR="008919DA">
        <w:rPr>
          <w:rFonts w:ascii="Garamond" w:hAnsi="Garamond"/>
          <w:sz w:val="24"/>
          <w:szCs w:val="24"/>
          <w:lang w:val="en-US"/>
        </w:rPr>
        <w:t xml:space="preserve"> about their normative merits</w:t>
      </w:r>
      <w:r>
        <w:rPr>
          <w:rFonts w:ascii="Garamond" w:hAnsi="Garamond"/>
          <w:sz w:val="24"/>
          <w:szCs w:val="24"/>
          <w:lang w:val="en-US"/>
        </w:rPr>
        <w:t xml:space="preserve">, because as of 2025, </w:t>
      </w:r>
      <w:r w:rsidR="008919DA">
        <w:rPr>
          <w:rFonts w:ascii="Garamond" w:hAnsi="Garamond"/>
          <w:sz w:val="24"/>
          <w:szCs w:val="24"/>
          <w:lang w:val="en-US"/>
        </w:rPr>
        <w:t xml:space="preserve">Bazoum remains deposed, </w:t>
      </w:r>
      <w:r>
        <w:rPr>
          <w:rFonts w:ascii="Garamond" w:hAnsi="Garamond"/>
          <w:sz w:val="24"/>
          <w:szCs w:val="24"/>
          <w:lang w:val="en-US"/>
        </w:rPr>
        <w:t xml:space="preserve">ECOWAS has not </w:t>
      </w:r>
      <w:r w:rsidR="008919DA">
        <w:rPr>
          <w:rFonts w:ascii="Garamond" w:hAnsi="Garamond"/>
          <w:sz w:val="24"/>
          <w:szCs w:val="24"/>
          <w:lang w:val="en-US"/>
        </w:rPr>
        <w:t>intervened</w:t>
      </w:r>
      <w:r>
        <w:rPr>
          <w:rFonts w:ascii="Garamond" w:hAnsi="Garamond"/>
          <w:sz w:val="24"/>
          <w:szCs w:val="24"/>
          <w:lang w:val="en-US"/>
        </w:rPr>
        <w:t xml:space="preserve">, and </w:t>
      </w:r>
      <w:r w:rsidRPr="0007516B">
        <w:rPr>
          <w:rFonts w:ascii="Garamond" w:hAnsi="Garamond"/>
          <w:sz w:val="24"/>
          <w:szCs w:val="24"/>
          <w:lang w:val="en-US"/>
        </w:rPr>
        <w:t>Niger</w:t>
      </w:r>
      <w:r w:rsidR="00CD6381">
        <w:rPr>
          <w:rFonts w:ascii="Garamond" w:hAnsi="Garamond"/>
          <w:sz w:val="24"/>
          <w:szCs w:val="24"/>
          <w:lang w:val="en-US"/>
        </w:rPr>
        <w:t xml:space="preserve"> has </w:t>
      </w:r>
      <w:r w:rsidRPr="0007516B">
        <w:rPr>
          <w:rFonts w:ascii="Garamond" w:hAnsi="Garamond"/>
          <w:sz w:val="24"/>
          <w:szCs w:val="24"/>
          <w:lang w:val="en-US"/>
        </w:rPr>
        <w:t>withdrawn from ECOWAS.</w:t>
      </w:r>
      <w:r>
        <w:rPr>
          <w:rStyle w:val="FootnoteReference"/>
          <w:rFonts w:ascii="Garamond" w:hAnsi="Garamond"/>
          <w:sz w:val="24"/>
          <w:szCs w:val="24"/>
          <w:lang w:val="en-US"/>
        </w:rPr>
        <w:footnoteReference w:id="9"/>
      </w:r>
      <w:r w:rsidRPr="0007516B">
        <w:rPr>
          <w:rFonts w:ascii="Garamond" w:hAnsi="Garamond"/>
          <w:sz w:val="24"/>
          <w:szCs w:val="24"/>
          <w:lang w:val="en-US"/>
        </w:rPr>
        <w:t xml:space="preserve"> </w:t>
      </w:r>
      <w:r w:rsidR="003D1849" w:rsidRPr="00DE12F3">
        <w:rPr>
          <w:rFonts w:ascii="Garamond" w:hAnsi="Garamond"/>
          <w:bCs/>
          <w:sz w:val="24"/>
          <w:szCs w:val="24"/>
          <w:lang w:val="en-US"/>
        </w:rPr>
        <w:t xml:space="preserve"> </w:t>
      </w:r>
    </w:p>
    <w:p w14:paraId="26833BB8" w14:textId="78A0BC8A" w:rsidR="003C1824" w:rsidRDefault="008919DA" w:rsidP="001340AF">
      <w:pPr>
        <w:spacing w:after="120" w:line="480" w:lineRule="auto"/>
        <w:jc w:val="both"/>
        <w:rPr>
          <w:rFonts w:ascii="Garamond" w:hAnsi="Garamond"/>
          <w:sz w:val="24"/>
          <w:szCs w:val="24"/>
          <w:lang w:val="en-US"/>
        </w:rPr>
      </w:pPr>
      <w:r>
        <w:rPr>
          <w:rFonts w:ascii="Garamond" w:hAnsi="Garamond"/>
          <w:bCs/>
          <w:sz w:val="24"/>
          <w:szCs w:val="24"/>
          <w:lang w:val="en-US"/>
        </w:rPr>
        <w:t xml:space="preserve">In carrying out this assessment, I will have recourse to the concept of external sovereignty. Indeed, most scholarly </w:t>
      </w:r>
      <w:r w:rsidR="00CD6381">
        <w:rPr>
          <w:rFonts w:ascii="Garamond" w:hAnsi="Garamond"/>
          <w:bCs/>
          <w:sz w:val="24"/>
          <w:szCs w:val="24"/>
          <w:lang w:val="en-US"/>
        </w:rPr>
        <w:t>work</w:t>
      </w:r>
      <w:r>
        <w:rPr>
          <w:rFonts w:ascii="Garamond" w:hAnsi="Garamond"/>
          <w:bCs/>
          <w:sz w:val="24"/>
          <w:szCs w:val="24"/>
          <w:lang w:val="en-US"/>
        </w:rPr>
        <w:t xml:space="preserve"> </w:t>
      </w:r>
      <w:r w:rsidR="00CD6381">
        <w:rPr>
          <w:rFonts w:ascii="Garamond" w:hAnsi="Garamond"/>
          <w:bCs/>
          <w:sz w:val="24"/>
          <w:szCs w:val="24"/>
          <w:lang w:val="en-US"/>
        </w:rPr>
        <w:t xml:space="preserve">has </w:t>
      </w:r>
      <w:r>
        <w:rPr>
          <w:rFonts w:ascii="Garamond" w:hAnsi="Garamond"/>
          <w:bCs/>
          <w:sz w:val="24"/>
          <w:szCs w:val="24"/>
          <w:lang w:val="en-US"/>
        </w:rPr>
        <w:t xml:space="preserve">been framed around </w:t>
      </w:r>
      <w:r w:rsidR="00E05CE6">
        <w:rPr>
          <w:rFonts w:ascii="Garamond" w:hAnsi="Garamond"/>
          <w:bCs/>
          <w:sz w:val="24"/>
          <w:szCs w:val="24"/>
          <w:lang w:val="en-US"/>
        </w:rPr>
        <w:t xml:space="preserve">sovereignty </w:t>
      </w:r>
      <w:r>
        <w:rPr>
          <w:rFonts w:ascii="Garamond" w:hAnsi="Garamond"/>
          <w:bCs/>
          <w:sz w:val="24"/>
          <w:szCs w:val="24"/>
          <w:lang w:val="en-US"/>
        </w:rPr>
        <w:t>concerns</w:t>
      </w:r>
      <w:r w:rsidR="00E05CE6">
        <w:rPr>
          <w:rFonts w:ascii="Garamond" w:hAnsi="Garamond"/>
          <w:bCs/>
          <w:sz w:val="24"/>
          <w:szCs w:val="24"/>
          <w:lang w:val="en-US"/>
        </w:rPr>
        <w:t xml:space="preserve">. </w:t>
      </w:r>
      <w:r w:rsidR="003C1824" w:rsidRPr="003D1849">
        <w:rPr>
          <w:rFonts w:ascii="Garamond" w:hAnsi="Garamond"/>
          <w:bCs/>
          <w:sz w:val="24"/>
          <w:szCs w:val="24"/>
          <w:lang w:val="en-US"/>
        </w:rPr>
        <w:t>Proponents of the Prior Consent Route argue that a state’s consent to intervention is an expression of sovereign will, and its treaty</w:t>
      </w:r>
      <w:r w:rsidR="003C1824" w:rsidRPr="00D56AF5">
        <w:rPr>
          <w:rFonts w:ascii="Garamond" w:hAnsi="Garamond"/>
          <w:sz w:val="24"/>
          <w:szCs w:val="24"/>
          <w:lang w:val="en-US"/>
        </w:rPr>
        <w:t xml:space="preserve">-making ability is </w:t>
      </w:r>
      <w:r w:rsidR="003C1824">
        <w:rPr>
          <w:rFonts w:ascii="Garamond" w:hAnsi="Garamond"/>
          <w:sz w:val="24"/>
          <w:szCs w:val="24"/>
          <w:lang w:val="en-US"/>
        </w:rPr>
        <w:t>a</w:t>
      </w:r>
      <w:r w:rsidR="003C1824" w:rsidRPr="00D56AF5">
        <w:rPr>
          <w:rFonts w:ascii="Garamond" w:hAnsi="Garamond"/>
          <w:sz w:val="24"/>
          <w:szCs w:val="24"/>
          <w:lang w:val="en-US"/>
        </w:rPr>
        <w:t xml:space="preserve"> sovereign power.</w:t>
      </w:r>
      <w:r w:rsidR="003C1824" w:rsidRPr="00D56AF5">
        <w:rPr>
          <w:rStyle w:val="FootnoteReference"/>
          <w:rFonts w:ascii="Garamond" w:hAnsi="Garamond"/>
          <w:sz w:val="24"/>
          <w:szCs w:val="24"/>
          <w:lang w:val="en-US"/>
        </w:rPr>
        <w:footnoteReference w:id="10"/>
      </w:r>
      <w:r w:rsidR="003C1824" w:rsidRPr="00D56AF5">
        <w:rPr>
          <w:rFonts w:ascii="Garamond" w:hAnsi="Garamond"/>
          <w:sz w:val="24"/>
          <w:szCs w:val="24"/>
          <w:lang w:val="en-US"/>
        </w:rPr>
        <w:t xml:space="preserve"> </w:t>
      </w:r>
      <w:r w:rsidR="003C1824">
        <w:rPr>
          <w:rFonts w:ascii="Garamond" w:hAnsi="Garamond"/>
          <w:sz w:val="24"/>
          <w:szCs w:val="24"/>
          <w:lang w:val="en-US"/>
        </w:rPr>
        <w:t>M</w:t>
      </w:r>
      <w:r w:rsidR="003C1824" w:rsidRPr="00D56AF5">
        <w:rPr>
          <w:rFonts w:ascii="Garamond" w:hAnsi="Garamond"/>
          <w:sz w:val="24"/>
          <w:szCs w:val="24"/>
          <w:lang w:val="en-US"/>
        </w:rPr>
        <w:t xml:space="preserve">ere consent should </w:t>
      </w:r>
      <w:r w:rsidR="003C1824">
        <w:rPr>
          <w:rFonts w:ascii="Garamond" w:hAnsi="Garamond"/>
          <w:sz w:val="24"/>
          <w:szCs w:val="24"/>
          <w:lang w:val="en-US"/>
        </w:rPr>
        <w:t xml:space="preserve">thus </w:t>
      </w:r>
      <w:r w:rsidR="003C1824" w:rsidRPr="00D56AF5">
        <w:rPr>
          <w:rFonts w:ascii="Garamond" w:hAnsi="Garamond"/>
          <w:sz w:val="24"/>
          <w:szCs w:val="24"/>
          <w:lang w:val="en-US"/>
        </w:rPr>
        <w:t xml:space="preserve">validate treaty-based authorizations and bind states to their legal consequences. </w:t>
      </w:r>
    </w:p>
    <w:p w14:paraId="264A193C" w14:textId="4F8A7FBE" w:rsidR="001034F6" w:rsidRPr="00D56AF5" w:rsidRDefault="003C1824" w:rsidP="001340AF">
      <w:pPr>
        <w:spacing w:after="120" w:line="480" w:lineRule="auto"/>
        <w:jc w:val="both"/>
        <w:rPr>
          <w:rFonts w:ascii="Garamond" w:hAnsi="Garamond"/>
          <w:sz w:val="24"/>
          <w:szCs w:val="24"/>
          <w:lang w:val="en-US"/>
        </w:rPr>
      </w:pPr>
      <w:r>
        <w:rPr>
          <w:rFonts w:ascii="Garamond" w:hAnsi="Garamond"/>
          <w:sz w:val="24"/>
          <w:szCs w:val="24"/>
          <w:lang w:val="en-US"/>
        </w:rPr>
        <w:t xml:space="preserve">Opponents, however, argue that </w:t>
      </w:r>
      <w:r w:rsidR="001034F6">
        <w:rPr>
          <w:rFonts w:ascii="Garamond" w:hAnsi="Garamond"/>
          <w:sz w:val="24"/>
          <w:szCs w:val="24"/>
          <w:lang w:val="en-US"/>
        </w:rPr>
        <w:t>standing authorizations are</w:t>
      </w:r>
      <w:r w:rsidR="00D10F02" w:rsidRPr="00D56AF5">
        <w:rPr>
          <w:rFonts w:ascii="Garamond" w:hAnsi="Garamond"/>
          <w:sz w:val="24"/>
          <w:szCs w:val="24"/>
          <w:lang w:val="en-US"/>
        </w:rPr>
        <w:t xml:space="preserve"> </w:t>
      </w:r>
      <w:r w:rsidR="001C673C" w:rsidRPr="00D56AF5">
        <w:rPr>
          <w:rFonts w:ascii="Garamond" w:hAnsi="Garamond"/>
          <w:sz w:val="24"/>
          <w:szCs w:val="24"/>
          <w:lang w:val="en-US"/>
        </w:rPr>
        <w:t xml:space="preserve">rendered </w:t>
      </w:r>
      <w:r w:rsidR="00D10F02" w:rsidRPr="00D56AF5">
        <w:rPr>
          <w:rFonts w:ascii="Garamond" w:hAnsi="Garamond"/>
          <w:sz w:val="24"/>
          <w:szCs w:val="24"/>
          <w:lang w:val="en-US"/>
        </w:rPr>
        <w:t>abstractly, and much in advance of the actual situations for which intervention is desired</w:t>
      </w:r>
      <w:r w:rsidR="00023BA8" w:rsidRPr="00D56AF5">
        <w:rPr>
          <w:rFonts w:ascii="Garamond" w:hAnsi="Garamond"/>
          <w:sz w:val="24"/>
          <w:szCs w:val="24"/>
          <w:lang w:val="en-US"/>
        </w:rPr>
        <w:t xml:space="preserve">. </w:t>
      </w:r>
      <w:r w:rsidR="00E05CE6">
        <w:rPr>
          <w:rFonts w:ascii="Garamond" w:hAnsi="Garamond"/>
          <w:sz w:val="24"/>
          <w:szCs w:val="24"/>
          <w:lang w:val="en-US"/>
        </w:rPr>
        <w:t>Consequently</w:t>
      </w:r>
      <w:r>
        <w:rPr>
          <w:rFonts w:ascii="Garamond" w:hAnsi="Garamond"/>
          <w:sz w:val="24"/>
          <w:szCs w:val="24"/>
          <w:lang w:val="en-US"/>
        </w:rPr>
        <w:t>, they</w:t>
      </w:r>
      <w:r w:rsidR="00743B57">
        <w:rPr>
          <w:rFonts w:ascii="Garamond" w:hAnsi="Garamond"/>
          <w:sz w:val="24"/>
          <w:szCs w:val="24"/>
          <w:lang w:val="en-US"/>
        </w:rPr>
        <w:t xml:space="preserve"> </w:t>
      </w:r>
      <w:r w:rsidR="001034F6" w:rsidRPr="00D56AF5">
        <w:rPr>
          <w:rFonts w:ascii="Garamond" w:hAnsi="Garamond"/>
          <w:sz w:val="24"/>
          <w:szCs w:val="24"/>
          <w:lang w:val="en-US"/>
        </w:rPr>
        <w:t xml:space="preserve">may </w:t>
      </w:r>
      <w:r>
        <w:rPr>
          <w:rFonts w:ascii="Garamond" w:hAnsi="Garamond"/>
          <w:sz w:val="24"/>
          <w:szCs w:val="24"/>
          <w:lang w:val="en-US"/>
        </w:rPr>
        <w:t>be</w:t>
      </w:r>
      <w:r w:rsidR="001034F6" w:rsidRPr="00D56AF5">
        <w:rPr>
          <w:rFonts w:ascii="Garamond" w:hAnsi="Garamond"/>
          <w:sz w:val="24"/>
          <w:szCs w:val="24"/>
          <w:lang w:val="en-US"/>
        </w:rPr>
        <w:t xml:space="preserve"> substantively irreconcilable with sovereignty because they can effectively cement choices of political systems</w:t>
      </w:r>
      <w:r w:rsidR="001034F6">
        <w:rPr>
          <w:rFonts w:ascii="Garamond" w:hAnsi="Garamond"/>
          <w:sz w:val="24"/>
          <w:szCs w:val="24"/>
          <w:lang w:val="en-US"/>
        </w:rPr>
        <w:t>,</w:t>
      </w:r>
      <w:r w:rsidR="001034F6" w:rsidRPr="00D56AF5">
        <w:rPr>
          <w:rFonts w:ascii="Garamond" w:hAnsi="Garamond"/>
          <w:i/>
          <w:iCs/>
          <w:sz w:val="24"/>
          <w:szCs w:val="24"/>
          <w:lang w:val="en-US"/>
        </w:rPr>
        <w:t xml:space="preserve"> </w:t>
      </w:r>
      <w:r w:rsidR="001034F6" w:rsidRPr="00D56AF5">
        <w:rPr>
          <w:rFonts w:ascii="Garamond" w:hAnsi="Garamond"/>
          <w:sz w:val="24"/>
          <w:szCs w:val="24"/>
          <w:lang w:val="en-US"/>
        </w:rPr>
        <w:t>and give specific governments the power to entrench their regimes</w:t>
      </w:r>
      <w:r w:rsidR="001034F6">
        <w:rPr>
          <w:rFonts w:ascii="Garamond" w:hAnsi="Garamond"/>
          <w:sz w:val="24"/>
          <w:szCs w:val="24"/>
          <w:lang w:val="en-US"/>
        </w:rPr>
        <w:t xml:space="preserve"> </w:t>
      </w:r>
      <w:r w:rsidR="001034F6" w:rsidRPr="00D56AF5">
        <w:rPr>
          <w:rFonts w:ascii="Garamond" w:hAnsi="Garamond"/>
          <w:sz w:val="24"/>
          <w:szCs w:val="24"/>
          <w:lang w:val="en-US"/>
        </w:rPr>
        <w:t xml:space="preserve">with external </w:t>
      </w:r>
      <w:r w:rsidR="001034F6" w:rsidRPr="00D56AF5">
        <w:rPr>
          <w:rFonts w:ascii="Garamond" w:hAnsi="Garamond"/>
          <w:sz w:val="24"/>
          <w:szCs w:val="24"/>
          <w:lang w:val="en-US"/>
        </w:rPr>
        <w:lastRenderedPageBreak/>
        <w:t>military support.</w:t>
      </w:r>
      <w:r w:rsidR="001034F6" w:rsidRPr="00D56AF5">
        <w:rPr>
          <w:rStyle w:val="FootnoteReference"/>
          <w:rFonts w:ascii="Garamond" w:hAnsi="Garamond"/>
          <w:sz w:val="24"/>
          <w:szCs w:val="24"/>
          <w:lang w:val="en-US"/>
        </w:rPr>
        <w:footnoteReference w:id="11"/>
      </w:r>
      <w:r w:rsidR="001034F6" w:rsidRPr="00D56AF5">
        <w:rPr>
          <w:rFonts w:ascii="Garamond" w:hAnsi="Garamond"/>
          <w:sz w:val="24"/>
          <w:szCs w:val="24"/>
          <w:lang w:val="en-US"/>
        </w:rPr>
        <w:t xml:space="preserve"> </w:t>
      </w:r>
      <w:r w:rsidR="00743B57">
        <w:rPr>
          <w:rFonts w:ascii="Garamond" w:hAnsi="Garamond"/>
          <w:sz w:val="24"/>
          <w:szCs w:val="24"/>
          <w:lang w:val="en-US"/>
        </w:rPr>
        <w:t>In</w:t>
      </w:r>
      <w:r w:rsidR="001034F6" w:rsidRPr="00D56AF5">
        <w:rPr>
          <w:rFonts w:ascii="Garamond" w:hAnsi="Garamond"/>
          <w:sz w:val="24"/>
          <w:szCs w:val="24"/>
          <w:lang w:val="en-US"/>
        </w:rPr>
        <w:t xml:space="preserve"> the</w:t>
      </w:r>
      <w:r w:rsidR="00DE12F3">
        <w:rPr>
          <w:rFonts w:ascii="Garamond" w:hAnsi="Garamond"/>
          <w:sz w:val="24"/>
          <w:szCs w:val="24"/>
          <w:lang w:val="en-US"/>
        </w:rPr>
        <w:t>ir</w:t>
      </w:r>
      <w:r w:rsidR="001034F6" w:rsidRPr="00D56AF5">
        <w:rPr>
          <w:rFonts w:ascii="Garamond" w:hAnsi="Garamond"/>
          <w:sz w:val="24"/>
          <w:szCs w:val="24"/>
          <w:lang w:val="en-US"/>
        </w:rPr>
        <w:t xml:space="preserve"> </w:t>
      </w:r>
      <w:r w:rsidR="00DE12F3">
        <w:rPr>
          <w:rFonts w:ascii="Garamond" w:hAnsi="Garamond"/>
          <w:sz w:val="24"/>
          <w:szCs w:val="24"/>
          <w:lang w:val="en-US"/>
        </w:rPr>
        <w:t xml:space="preserve">current </w:t>
      </w:r>
      <w:r w:rsidR="001034F6" w:rsidRPr="00D56AF5">
        <w:rPr>
          <w:rFonts w:ascii="Garamond" w:hAnsi="Garamond"/>
          <w:sz w:val="24"/>
          <w:szCs w:val="24"/>
          <w:lang w:val="en-US"/>
        </w:rPr>
        <w:t xml:space="preserve">form, </w:t>
      </w:r>
      <w:r w:rsidR="00743B57">
        <w:rPr>
          <w:rFonts w:ascii="Garamond" w:hAnsi="Garamond"/>
          <w:sz w:val="24"/>
          <w:szCs w:val="24"/>
          <w:lang w:val="en-US"/>
        </w:rPr>
        <w:t xml:space="preserve">they </w:t>
      </w:r>
      <w:r w:rsidR="001034F6" w:rsidRPr="00D56AF5">
        <w:rPr>
          <w:rFonts w:ascii="Garamond" w:hAnsi="Garamond"/>
          <w:sz w:val="24"/>
          <w:szCs w:val="24"/>
          <w:lang w:val="en-US"/>
        </w:rPr>
        <w:t xml:space="preserve">confer a </w:t>
      </w:r>
      <w:r w:rsidR="001034F6" w:rsidRPr="00D56AF5">
        <w:rPr>
          <w:rFonts w:ascii="Garamond" w:hAnsi="Garamond"/>
          <w:b/>
          <w:bCs/>
          <w:sz w:val="24"/>
          <w:szCs w:val="24"/>
          <w:lang w:val="en-US"/>
        </w:rPr>
        <w:t>right</w:t>
      </w:r>
      <w:r w:rsidR="001034F6" w:rsidRPr="00D56AF5">
        <w:rPr>
          <w:rFonts w:ascii="Garamond" w:hAnsi="Garamond"/>
          <w:sz w:val="24"/>
          <w:szCs w:val="24"/>
          <w:lang w:val="en-US"/>
        </w:rPr>
        <w:t xml:space="preserve"> of military intervention on the third state(s),</w:t>
      </w:r>
      <w:r w:rsidR="001034F6" w:rsidRPr="00D56AF5">
        <w:rPr>
          <w:rStyle w:val="FootnoteReference"/>
          <w:rFonts w:ascii="Garamond" w:hAnsi="Garamond"/>
          <w:sz w:val="24"/>
          <w:szCs w:val="24"/>
          <w:lang w:val="en-US"/>
        </w:rPr>
        <w:footnoteReference w:id="12"/>
      </w:r>
      <w:r w:rsidR="001034F6" w:rsidRPr="00D56AF5">
        <w:rPr>
          <w:rFonts w:ascii="Garamond" w:hAnsi="Garamond"/>
          <w:sz w:val="24"/>
          <w:szCs w:val="24"/>
          <w:lang w:val="en-US"/>
        </w:rPr>
        <w:t xml:space="preserve"> regardless of the nature of the internal resistance to the government i.e., regardless of whether the governmental overthrow has taken place as a result of civil war, popular revolution, or military coup. Such authorizations therefore seem impervious to the organic political changes that</w:t>
      </w:r>
      <w:r>
        <w:rPr>
          <w:rFonts w:ascii="Garamond" w:hAnsi="Garamond"/>
          <w:sz w:val="24"/>
          <w:szCs w:val="24"/>
          <w:lang w:val="en-US"/>
        </w:rPr>
        <w:t xml:space="preserve"> </w:t>
      </w:r>
      <w:r w:rsidR="001034F6" w:rsidRPr="00D56AF5">
        <w:rPr>
          <w:rFonts w:ascii="Garamond" w:hAnsi="Garamond"/>
          <w:sz w:val="24"/>
          <w:szCs w:val="24"/>
          <w:lang w:val="en-US"/>
        </w:rPr>
        <w:t>take place within a state as expressions of popular sovereignty and national self-determination</w:t>
      </w:r>
      <w:r w:rsidR="0091207B">
        <w:rPr>
          <w:rFonts w:ascii="Garamond" w:hAnsi="Garamond"/>
          <w:sz w:val="24"/>
          <w:szCs w:val="24"/>
          <w:lang w:val="en-US"/>
        </w:rPr>
        <w:t xml:space="preserve"> – </w:t>
      </w:r>
      <w:r w:rsidR="001034F6" w:rsidRPr="00D56AF5">
        <w:rPr>
          <w:rFonts w:ascii="Garamond" w:hAnsi="Garamond"/>
          <w:sz w:val="24"/>
          <w:szCs w:val="24"/>
          <w:lang w:val="en-US"/>
        </w:rPr>
        <w:t>the</w:t>
      </w:r>
      <w:r w:rsidR="0091207B">
        <w:rPr>
          <w:rFonts w:ascii="Garamond" w:hAnsi="Garamond"/>
          <w:sz w:val="24"/>
          <w:szCs w:val="24"/>
          <w:lang w:val="en-US"/>
        </w:rPr>
        <w:t xml:space="preserve"> </w:t>
      </w:r>
      <w:r w:rsidR="001034F6" w:rsidRPr="00D56AF5">
        <w:rPr>
          <w:rFonts w:ascii="Garamond" w:hAnsi="Garamond"/>
          <w:sz w:val="24"/>
          <w:szCs w:val="24"/>
          <w:lang w:val="en-US"/>
        </w:rPr>
        <w:t xml:space="preserve">very values that international law purports to protect through the institution of sovereignty. </w:t>
      </w:r>
    </w:p>
    <w:p w14:paraId="62E0D81D" w14:textId="626D00C4" w:rsidR="00F006AD" w:rsidRDefault="00AF7B69" w:rsidP="001340AF">
      <w:pPr>
        <w:spacing w:after="120" w:line="480" w:lineRule="auto"/>
        <w:jc w:val="both"/>
        <w:rPr>
          <w:rFonts w:ascii="Garamond" w:hAnsi="Garamond"/>
          <w:sz w:val="24"/>
          <w:szCs w:val="24"/>
          <w:lang w:val="en-US"/>
        </w:rPr>
      </w:pPr>
      <w:r w:rsidRPr="00D56AF5">
        <w:rPr>
          <w:rFonts w:ascii="Garamond" w:hAnsi="Garamond"/>
          <w:sz w:val="24"/>
          <w:szCs w:val="24"/>
          <w:lang w:val="en-US"/>
        </w:rPr>
        <w:t>Th</w:t>
      </w:r>
      <w:r w:rsidR="0033041B">
        <w:rPr>
          <w:rFonts w:ascii="Garamond" w:hAnsi="Garamond"/>
          <w:sz w:val="24"/>
          <w:szCs w:val="24"/>
          <w:lang w:val="en-US"/>
        </w:rPr>
        <w:t>is</w:t>
      </w:r>
      <w:r w:rsidRPr="00D56AF5">
        <w:rPr>
          <w:rFonts w:ascii="Garamond" w:hAnsi="Garamond"/>
          <w:sz w:val="24"/>
          <w:szCs w:val="24"/>
          <w:lang w:val="en-US"/>
        </w:rPr>
        <w:t xml:space="preserve"> </w:t>
      </w:r>
      <w:r w:rsidR="007C2D41" w:rsidRPr="00D56AF5">
        <w:rPr>
          <w:rFonts w:ascii="Garamond" w:hAnsi="Garamond"/>
          <w:sz w:val="24"/>
          <w:szCs w:val="24"/>
          <w:lang w:val="en-US"/>
        </w:rPr>
        <w:t xml:space="preserve">internal </w:t>
      </w:r>
      <w:r w:rsidR="006806A6" w:rsidRPr="00D56AF5">
        <w:rPr>
          <w:rFonts w:ascii="Garamond" w:hAnsi="Garamond"/>
          <w:sz w:val="24"/>
          <w:szCs w:val="24"/>
          <w:lang w:val="en-US"/>
        </w:rPr>
        <w:t>tension</w:t>
      </w:r>
      <w:r w:rsidR="00D26B5B" w:rsidRPr="00D56AF5">
        <w:rPr>
          <w:rFonts w:ascii="Garamond" w:hAnsi="Garamond"/>
          <w:sz w:val="24"/>
          <w:szCs w:val="24"/>
          <w:lang w:val="en-US"/>
        </w:rPr>
        <w:t xml:space="preserve"> </w:t>
      </w:r>
      <w:r w:rsidR="007C2D41" w:rsidRPr="00D56AF5">
        <w:rPr>
          <w:rFonts w:ascii="Garamond" w:hAnsi="Garamond"/>
          <w:sz w:val="24"/>
          <w:szCs w:val="24"/>
          <w:lang w:val="en-US"/>
        </w:rPr>
        <w:t xml:space="preserve">in </w:t>
      </w:r>
      <w:r w:rsidR="00D10BA2" w:rsidRPr="00D56AF5">
        <w:rPr>
          <w:rFonts w:ascii="Garamond" w:hAnsi="Garamond"/>
          <w:sz w:val="24"/>
          <w:szCs w:val="24"/>
          <w:lang w:val="en-US"/>
        </w:rPr>
        <w:t>sovereignty</w:t>
      </w:r>
      <w:r w:rsidR="000067A7" w:rsidRPr="00D56AF5">
        <w:rPr>
          <w:rFonts w:ascii="Garamond" w:hAnsi="Garamond"/>
          <w:sz w:val="24"/>
          <w:szCs w:val="24"/>
          <w:lang w:val="en-US"/>
        </w:rPr>
        <w:t>,</w:t>
      </w:r>
      <w:r w:rsidR="00D10BA2" w:rsidRPr="00D56AF5">
        <w:rPr>
          <w:rFonts w:ascii="Garamond" w:hAnsi="Garamond"/>
          <w:sz w:val="24"/>
          <w:szCs w:val="24"/>
          <w:lang w:val="en-US"/>
        </w:rPr>
        <w:t xml:space="preserve"> </w:t>
      </w:r>
      <w:r w:rsidR="00FF42A7" w:rsidRPr="00D56AF5">
        <w:rPr>
          <w:rFonts w:ascii="Garamond" w:hAnsi="Garamond"/>
          <w:sz w:val="24"/>
          <w:szCs w:val="24"/>
          <w:lang w:val="en-US"/>
        </w:rPr>
        <w:t xml:space="preserve">between </w:t>
      </w:r>
      <w:r w:rsidR="0004708B" w:rsidRPr="00D56AF5">
        <w:rPr>
          <w:rFonts w:ascii="Garamond" w:hAnsi="Garamond"/>
          <w:sz w:val="24"/>
          <w:szCs w:val="24"/>
          <w:lang w:val="en-US"/>
        </w:rPr>
        <w:t xml:space="preserve">the ability of a state to bind itself to legal commitments through expressions of </w:t>
      </w:r>
      <w:r w:rsidR="00182AF2" w:rsidRPr="00D56AF5">
        <w:rPr>
          <w:rFonts w:ascii="Garamond" w:hAnsi="Garamond"/>
          <w:sz w:val="24"/>
          <w:szCs w:val="24"/>
          <w:lang w:val="en-US"/>
        </w:rPr>
        <w:t xml:space="preserve">its </w:t>
      </w:r>
      <w:r w:rsidR="0004708B" w:rsidRPr="00D56AF5">
        <w:rPr>
          <w:rFonts w:ascii="Garamond" w:hAnsi="Garamond"/>
          <w:sz w:val="24"/>
          <w:szCs w:val="24"/>
          <w:lang w:val="en-US"/>
        </w:rPr>
        <w:t>will</w:t>
      </w:r>
      <w:r w:rsidR="007A3241">
        <w:rPr>
          <w:rFonts w:ascii="Garamond" w:hAnsi="Garamond"/>
          <w:sz w:val="24"/>
          <w:szCs w:val="24"/>
          <w:lang w:val="en-US"/>
        </w:rPr>
        <w:t>,</w:t>
      </w:r>
      <w:r w:rsidR="000067A7" w:rsidRPr="00D56AF5">
        <w:rPr>
          <w:rFonts w:ascii="Garamond" w:hAnsi="Garamond"/>
          <w:sz w:val="24"/>
          <w:szCs w:val="24"/>
          <w:lang w:val="en-US"/>
        </w:rPr>
        <w:t xml:space="preserve"> </w:t>
      </w:r>
      <w:r w:rsidR="0004708B" w:rsidRPr="00D56AF5">
        <w:rPr>
          <w:rFonts w:ascii="Garamond" w:hAnsi="Garamond"/>
          <w:sz w:val="24"/>
          <w:szCs w:val="24"/>
          <w:lang w:val="en-US"/>
        </w:rPr>
        <w:t xml:space="preserve">and </w:t>
      </w:r>
      <w:r w:rsidR="007B656B" w:rsidRPr="00D56AF5">
        <w:rPr>
          <w:rFonts w:ascii="Garamond" w:hAnsi="Garamond"/>
          <w:sz w:val="24"/>
          <w:szCs w:val="24"/>
          <w:lang w:val="en-US"/>
        </w:rPr>
        <w:t xml:space="preserve">the </w:t>
      </w:r>
      <w:r w:rsidR="000051C9" w:rsidRPr="00D56AF5">
        <w:rPr>
          <w:rFonts w:ascii="Garamond" w:hAnsi="Garamond"/>
          <w:sz w:val="24"/>
          <w:szCs w:val="24"/>
          <w:lang w:val="en-US"/>
        </w:rPr>
        <w:t xml:space="preserve">contemporaneous </w:t>
      </w:r>
      <w:r w:rsidR="00A030E3" w:rsidRPr="00D56AF5">
        <w:rPr>
          <w:rFonts w:ascii="Garamond" w:hAnsi="Garamond"/>
          <w:sz w:val="24"/>
          <w:szCs w:val="24"/>
          <w:lang w:val="en-US"/>
        </w:rPr>
        <w:t xml:space="preserve">autonomy of </w:t>
      </w:r>
      <w:r w:rsidR="00182AF2" w:rsidRPr="00D56AF5">
        <w:rPr>
          <w:rFonts w:ascii="Garamond" w:hAnsi="Garamond"/>
          <w:sz w:val="24"/>
          <w:szCs w:val="24"/>
          <w:lang w:val="en-US"/>
        </w:rPr>
        <w:t xml:space="preserve">the </w:t>
      </w:r>
      <w:r w:rsidR="00BA7061" w:rsidRPr="00D56AF5">
        <w:rPr>
          <w:rFonts w:ascii="Garamond" w:hAnsi="Garamond"/>
          <w:sz w:val="24"/>
          <w:szCs w:val="24"/>
          <w:lang w:val="en-US"/>
        </w:rPr>
        <w:t xml:space="preserve">state’s </w:t>
      </w:r>
      <w:r w:rsidR="00A030E3" w:rsidRPr="00D56AF5">
        <w:rPr>
          <w:rFonts w:ascii="Garamond" w:hAnsi="Garamond"/>
          <w:sz w:val="24"/>
          <w:szCs w:val="24"/>
          <w:lang w:val="en-US"/>
        </w:rPr>
        <w:t xml:space="preserve">political community </w:t>
      </w:r>
      <w:r w:rsidR="00EA67DC" w:rsidRPr="00D56AF5">
        <w:rPr>
          <w:rFonts w:ascii="Garamond" w:hAnsi="Garamond"/>
          <w:sz w:val="24"/>
          <w:szCs w:val="24"/>
          <w:lang w:val="en-US"/>
        </w:rPr>
        <w:t xml:space="preserve">to </w:t>
      </w:r>
      <w:r w:rsidR="00EF258A" w:rsidRPr="00D56AF5">
        <w:rPr>
          <w:rFonts w:ascii="Garamond" w:hAnsi="Garamond"/>
          <w:sz w:val="24"/>
          <w:szCs w:val="24"/>
          <w:lang w:val="en-US"/>
        </w:rPr>
        <w:t xml:space="preserve">seek change </w:t>
      </w:r>
      <w:r w:rsidR="00EA67DC" w:rsidRPr="00D56AF5">
        <w:rPr>
          <w:rFonts w:ascii="Garamond" w:hAnsi="Garamond"/>
          <w:sz w:val="24"/>
          <w:szCs w:val="24"/>
          <w:lang w:val="en-US"/>
        </w:rPr>
        <w:t xml:space="preserve">contrary to </w:t>
      </w:r>
      <w:r w:rsidR="00C86A1D" w:rsidRPr="00D56AF5">
        <w:rPr>
          <w:rFonts w:ascii="Garamond" w:hAnsi="Garamond"/>
          <w:sz w:val="24"/>
          <w:szCs w:val="24"/>
          <w:lang w:val="en-US"/>
        </w:rPr>
        <w:t>those legal commitments</w:t>
      </w:r>
      <w:r w:rsidR="00D10BA2" w:rsidRPr="00D56AF5">
        <w:rPr>
          <w:rFonts w:ascii="Garamond" w:hAnsi="Garamond"/>
          <w:sz w:val="24"/>
          <w:szCs w:val="24"/>
          <w:lang w:val="en-US"/>
        </w:rPr>
        <w:t xml:space="preserve">, </w:t>
      </w:r>
      <w:r w:rsidR="00D35AD0">
        <w:rPr>
          <w:rFonts w:ascii="Garamond" w:hAnsi="Garamond"/>
          <w:sz w:val="24"/>
          <w:szCs w:val="24"/>
          <w:lang w:val="en-US"/>
        </w:rPr>
        <w:t>captures the</w:t>
      </w:r>
      <w:r w:rsidR="00F0283D" w:rsidRPr="00D56AF5">
        <w:rPr>
          <w:rFonts w:ascii="Garamond" w:hAnsi="Garamond"/>
          <w:sz w:val="24"/>
          <w:szCs w:val="24"/>
          <w:lang w:val="en-US"/>
        </w:rPr>
        <w:t xml:space="preserve"> </w:t>
      </w:r>
      <w:r w:rsidR="00390B03" w:rsidRPr="00D56AF5">
        <w:rPr>
          <w:rFonts w:ascii="Garamond" w:hAnsi="Garamond"/>
          <w:sz w:val="24"/>
          <w:szCs w:val="24"/>
          <w:lang w:val="en-US"/>
        </w:rPr>
        <w:t>‘</w:t>
      </w:r>
      <w:r w:rsidR="00F0283D" w:rsidRPr="00D56AF5">
        <w:rPr>
          <w:rFonts w:ascii="Garamond" w:hAnsi="Garamond"/>
          <w:sz w:val="24"/>
          <w:szCs w:val="24"/>
          <w:lang w:val="en-US"/>
        </w:rPr>
        <w:t>paradox of sovereignty</w:t>
      </w:r>
      <w:r w:rsidR="00390B03" w:rsidRPr="00D56AF5">
        <w:rPr>
          <w:rFonts w:ascii="Garamond" w:hAnsi="Garamond"/>
          <w:sz w:val="24"/>
          <w:szCs w:val="24"/>
          <w:lang w:val="en-US"/>
        </w:rPr>
        <w:t xml:space="preserve">’. </w:t>
      </w:r>
      <w:r w:rsidR="008919DA">
        <w:rPr>
          <w:rFonts w:ascii="Garamond" w:hAnsi="Garamond"/>
          <w:sz w:val="24"/>
          <w:szCs w:val="24"/>
          <w:lang w:val="en-US"/>
        </w:rPr>
        <w:t xml:space="preserve">The paradox lies at the heart of all treaty commitments, and </w:t>
      </w:r>
      <w:r w:rsidR="00D35AD0">
        <w:rPr>
          <w:rFonts w:ascii="Garamond" w:hAnsi="Garamond"/>
          <w:sz w:val="24"/>
          <w:szCs w:val="24"/>
          <w:lang w:val="en-US"/>
        </w:rPr>
        <w:t xml:space="preserve">invokes questions </w:t>
      </w:r>
      <w:r w:rsidR="00D35AD0" w:rsidRPr="00D56AF5">
        <w:rPr>
          <w:rFonts w:ascii="Garamond" w:hAnsi="Garamond"/>
          <w:sz w:val="24"/>
          <w:szCs w:val="24"/>
          <w:lang w:val="en-US"/>
        </w:rPr>
        <w:t>reminiscent</w:t>
      </w:r>
      <w:r w:rsidR="00D35AD0">
        <w:rPr>
          <w:rFonts w:ascii="Garamond" w:hAnsi="Garamond"/>
          <w:sz w:val="24"/>
          <w:szCs w:val="24"/>
          <w:lang w:val="en-US"/>
        </w:rPr>
        <w:t xml:space="preserve"> of contract law:</w:t>
      </w:r>
      <w:r w:rsidR="008919DA">
        <w:rPr>
          <w:rFonts w:ascii="Garamond" w:hAnsi="Garamond"/>
          <w:sz w:val="24"/>
          <w:szCs w:val="24"/>
          <w:lang w:val="en-US"/>
        </w:rPr>
        <w:t xml:space="preserve"> Why are treaties binding?</w:t>
      </w:r>
      <w:r w:rsidR="00D35AD0">
        <w:rPr>
          <w:rFonts w:ascii="Garamond" w:hAnsi="Garamond"/>
          <w:sz w:val="24"/>
          <w:szCs w:val="24"/>
          <w:lang w:val="en-US"/>
        </w:rPr>
        <w:t xml:space="preserve"> </w:t>
      </w:r>
      <w:r w:rsidR="008919DA">
        <w:rPr>
          <w:rFonts w:ascii="Garamond" w:hAnsi="Garamond"/>
          <w:sz w:val="24"/>
          <w:szCs w:val="24"/>
          <w:lang w:val="en-US"/>
        </w:rPr>
        <w:t xml:space="preserve">Is there a point at which </w:t>
      </w:r>
      <w:r w:rsidR="008919DA" w:rsidRPr="00D56AF5">
        <w:rPr>
          <w:rFonts w:ascii="Garamond" w:hAnsi="Garamond"/>
          <w:sz w:val="24"/>
          <w:szCs w:val="24"/>
          <w:lang w:val="en-US"/>
        </w:rPr>
        <w:t>a treaty obligation</w:t>
      </w:r>
      <w:r w:rsidR="008919DA">
        <w:rPr>
          <w:rFonts w:ascii="Garamond" w:hAnsi="Garamond"/>
          <w:sz w:val="24"/>
          <w:szCs w:val="24"/>
          <w:lang w:val="en-US"/>
        </w:rPr>
        <w:t>, through the operation of its substance,</w:t>
      </w:r>
      <w:r w:rsidR="008919DA" w:rsidRPr="00D56AF5">
        <w:rPr>
          <w:rFonts w:ascii="Garamond" w:hAnsi="Garamond"/>
          <w:sz w:val="24"/>
          <w:szCs w:val="24"/>
          <w:lang w:val="en-US"/>
        </w:rPr>
        <w:t xml:space="preserve"> </w:t>
      </w:r>
      <w:r w:rsidR="008919DA">
        <w:rPr>
          <w:rFonts w:ascii="Garamond" w:hAnsi="Garamond"/>
          <w:sz w:val="24"/>
          <w:szCs w:val="24"/>
          <w:lang w:val="en-US"/>
        </w:rPr>
        <w:t xml:space="preserve">can </w:t>
      </w:r>
      <w:r w:rsidR="008919DA" w:rsidRPr="00D56AF5">
        <w:rPr>
          <w:rFonts w:ascii="Garamond" w:hAnsi="Garamond"/>
          <w:sz w:val="24"/>
          <w:szCs w:val="24"/>
          <w:lang w:val="en-US"/>
        </w:rPr>
        <w:t>extinguish sovereignty</w:t>
      </w:r>
      <w:r w:rsidR="008919DA">
        <w:rPr>
          <w:rFonts w:ascii="Garamond" w:hAnsi="Garamond"/>
          <w:sz w:val="24"/>
          <w:szCs w:val="24"/>
          <w:lang w:val="en-US"/>
        </w:rPr>
        <w:t xml:space="preserve">? Just </w:t>
      </w:r>
      <w:r w:rsidR="00C110F2">
        <w:rPr>
          <w:rFonts w:ascii="Garamond" w:hAnsi="Garamond"/>
          <w:sz w:val="24"/>
          <w:szCs w:val="24"/>
          <w:lang w:val="en-US"/>
        </w:rPr>
        <w:t xml:space="preserve">as </w:t>
      </w:r>
      <w:r w:rsidR="00C110F2" w:rsidRPr="00D56AF5">
        <w:rPr>
          <w:rFonts w:ascii="Garamond" w:hAnsi="Garamond"/>
          <w:sz w:val="24"/>
          <w:szCs w:val="24"/>
          <w:lang w:val="en-US"/>
        </w:rPr>
        <w:t xml:space="preserve">law limits the </w:t>
      </w:r>
      <w:proofErr w:type="gramStart"/>
      <w:r w:rsidR="00C110F2" w:rsidRPr="00D56AF5">
        <w:rPr>
          <w:rFonts w:ascii="Garamond" w:hAnsi="Garamond"/>
          <w:sz w:val="24"/>
          <w:szCs w:val="24"/>
          <w:lang w:val="en-US"/>
        </w:rPr>
        <w:t>manner in which</w:t>
      </w:r>
      <w:proofErr w:type="gramEnd"/>
      <w:r w:rsidR="00C110F2" w:rsidRPr="00D56AF5">
        <w:rPr>
          <w:rFonts w:ascii="Garamond" w:hAnsi="Garamond"/>
          <w:sz w:val="24"/>
          <w:szCs w:val="24"/>
          <w:lang w:val="en-US"/>
        </w:rPr>
        <w:t xml:space="preserve"> autonomy can be enjoyed – for example, contracts of slavery are proscribed and void ad initio – </w:t>
      </w:r>
      <w:r w:rsidR="00C110F2">
        <w:rPr>
          <w:rFonts w:ascii="Garamond" w:hAnsi="Garamond"/>
          <w:sz w:val="24"/>
          <w:szCs w:val="24"/>
          <w:lang w:val="en-US"/>
        </w:rPr>
        <w:t xml:space="preserve">does </w:t>
      </w:r>
      <w:r w:rsidR="00C110F2" w:rsidRPr="00D56AF5">
        <w:rPr>
          <w:rFonts w:ascii="Garamond" w:hAnsi="Garamond"/>
          <w:sz w:val="24"/>
          <w:szCs w:val="24"/>
          <w:lang w:val="en-US"/>
        </w:rPr>
        <w:t xml:space="preserve">international law limit the purposes for which a state’s </w:t>
      </w:r>
      <w:r w:rsidR="00C110F2">
        <w:rPr>
          <w:rFonts w:ascii="Garamond" w:hAnsi="Garamond"/>
          <w:sz w:val="24"/>
          <w:szCs w:val="24"/>
          <w:lang w:val="en-US"/>
        </w:rPr>
        <w:t xml:space="preserve">sovereignty </w:t>
      </w:r>
      <w:r w:rsidR="00C110F2" w:rsidRPr="00D56AF5">
        <w:rPr>
          <w:rFonts w:ascii="Garamond" w:hAnsi="Garamond"/>
          <w:sz w:val="24"/>
          <w:szCs w:val="24"/>
          <w:lang w:val="en-US"/>
        </w:rPr>
        <w:t>can be used</w:t>
      </w:r>
      <w:r w:rsidR="00C110F2">
        <w:rPr>
          <w:rFonts w:ascii="Garamond" w:hAnsi="Garamond"/>
          <w:sz w:val="24"/>
          <w:szCs w:val="24"/>
          <w:lang w:val="en-US"/>
        </w:rPr>
        <w:t xml:space="preserve">? </w:t>
      </w:r>
    </w:p>
    <w:p w14:paraId="1926FE11" w14:textId="77777777" w:rsidR="00CD6381" w:rsidRDefault="009D1B2D" w:rsidP="001340AF">
      <w:pPr>
        <w:spacing w:after="120" w:line="480" w:lineRule="auto"/>
        <w:jc w:val="both"/>
        <w:rPr>
          <w:rFonts w:ascii="Garamond" w:hAnsi="Garamond"/>
          <w:sz w:val="24"/>
          <w:szCs w:val="24"/>
          <w:lang w:val="en-US"/>
        </w:rPr>
      </w:pPr>
      <w:r>
        <w:rPr>
          <w:rFonts w:ascii="Garamond" w:hAnsi="Garamond"/>
          <w:sz w:val="24"/>
          <w:szCs w:val="24"/>
          <w:lang w:val="en-US"/>
        </w:rPr>
        <w:t>In this paper</w:t>
      </w:r>
      <w:r w:rsidR="0030168D" w:rsidRPr="00D56AF5">
        <w:rPr>
          <w:rFonts w:ascii="Garamond" w:hAnsi="Garamond"/>
          <w:sz w:val="24"/>
          <w:szCs w:val="24"/>
          <w:lang w:val="en-US"/>
        </w:rPr>
        <w:t>,</w:t>
      </w:r>
      <w:r w:rsidR="001D5B62" w:rsidRPr="00D56AF5">
        <w:rPr>
          <w:rFonts w:ascii="Garamond" w:hAnsi="Garamond"/>
          <w:sz w:val="24"/>
          <w:szCs w:val="24"/>
          <w:lang w:val="en-US"/>
        </w:rPr>
        <w:t xml:space="preserve"> I</w:t>
      </w:r>
      <w:r w:rsidR="00B56CCF" w:rsidRPr="00D56AF5">
        <w:rPr>
          <w:rFonts w:ascii="Garamond" w:hAnsi="Garamond"/>
          <w:sz w:val="24"/>
          <w:szCs w:val="24"/>
          <w:lang w:val="en-US"/>
        </w:rPr>
        <w:t xml:space="preserve"> </w:t>
      </w:r>
      <w:r w:rsidR="00702F7D">
        <w:rPr>
          <w:rFonts w:ascii="Garamond" w:hAnsi="Garamond"/>
          <w:sz w:val="24"/>
          <w:szCs w:val="24"/>
          <w:lang w:val="en-US"/>
        </w:rPr>
        <w:t>use th</w:t>
      </w:r>
      <w:r w:rsidR="00D35AD0">
        <w:rPr>
          <w:rFonts w:ascii="Garamond" w:hAnsi="Garamond"/>
          <w:sz w:val="24"/>
          <w:szCs w:val="24"/>
          <w:lang w:val="en-US"/>
        </w:rPr>
        <w:t>e</w:t>
      </w:r>
      <w:r w:rsidR="00702F7D">
        <w:rPr>
          <w:rFonts w:ascii="Garamond" w:hAnsi="Garamond"/>
          <w:sz w:val="24"/>
          <w:szCs w:val="24"/>
          <w:lang w:val="en-US"/>
        </w:rPr>
        <w:t xml:space="preserve"> </w:t>
      </w:r>
      <w:r w:rsidR="00702F7D" w:rsidRPr="00D56AF5">
        <w:rPr>
          <w:rFonts w:ascii="Garamond" w:hAnsi="Garamond"/>
          <w:sz w:val="24"/>
          <w:szCs w:val="24"/>
          <w:lang w:val="en-US"/>
        </w:rPr>
        <w:t>paradox</w:t>
      </w:r>
      <w:r w:rsidR="00DE12F3">
        <w:rPr>
          <w:rFonts w:ascii="Garamond" w:hAnsi="Garamond"/>
          <w:sz w:val="24"/>
          <w:szCs w:val="24"/>
          <w:lang w:val="en-US"/>
        </w:rPr>
        <w:t xml:space="preserve"> </w:t>
      </w:r>
      <w:r w:rsidR="00702F7D">
        <w:rPr>
          <w:rFonts w:ascii="Garamond" w:hAnsi="Garamond"/>
          <w:sz w:val="24"/>
          <w:szCs w:val="24"/>
          <w:lang w:val="en-US"/>
        </w:rPr>
        <w:t xml:space="preserve">as a conceptual device to </w:t>
      </w:r>
      <w:r w:rsidR="00B56CCF" w:rsidRPr="00D56AF5">
        <w:rPr>
          <w:rFonts w:ascii="Garamond" w:hAnsi="Garamond"/>
          <w:sz w:val="24"/>
          <w:szCs w:val="24"/>
          <w:lang w:val="en-US"/>
        </w:rPr>
        <w:t xml:space="preserve">analyze the </w:t>
      </w:r>
      <w:r w:rsidR="00556ED4" w:rsidRPr="00D56AF5">
        <w:rPr>
          <w:rFonts w:ascii="Garamond" w:hAnsi="Garamond"/>
          <w:sz w:val="24"/>
          <w:szCs w:val="24"/>
          <w:lang w:val="en-US"/>
        </w:rPr>
        <w:t xml:space="preserve">compatibility of standing authorizations </w:t>
      </w:r>
      <w:r w:rsidR="00B56CCF" w:rsidRPr="00D56AF5">
        <w:rPr>
          <w:rFonts w:ascii="Garamond" w:hAnsi="Garamond"/>
          <w:sz w:val="24"/>
          <w:szCs w:val="24"/>
          <w:lang w:val="en-US"/>
        </w:rPr>
        <w:t xml:space="preserve">for pro-democratic interventions </w:t>
      </w:r>
      <w:r w:rsidR="00556ED4" w:rsidRPr="00D56AF5">
        <w:rPr>
          <w:rFonts w:ascii="Garamond" w:hAnsi="Garamond"/>
          <w:sz w:val="24"/>
          <w:szCs w:val="24"/>
          <w:lang w:val="en-US"/>
        </w:rPr>
        <w:t xml:space="preserve">with </w:t>
      </w:r>
      <w:r w:rsidR="008F016A" w:rsidRPr="00D56AF5">
        <w:rPr>
          <w:rFonts w:ascii="Garamond" w:hAnsi="Garamond"/>
          <w:sz w:val="24"/>
          <w:szCs w:val="24"/>
          <w:lang w:val="en-US"/>
        </w:rPr>
        <w:t xml:space="preserve">the </w:t>
      </w:r>
      <w:r w:rsidR="00B56CCF" w:rsidRPr="00D56AF5">
        <w:rPr>
          <w:rFonts w:ascii="Garamond" w:hAnsi="Garamond"/>
          <w:sz w:val="24"/>
          <w:szCs w:val="24"/>
          <w:lang w:val="en-US"/>
        </w:rPr>
        <w:t>politic</w:t>
      </w:r>
      <w:r w:rsidR="00381AD2" w:rsidRPr="00D56AF5">
        <w:rPr>
          <w:rFonts w:ascii="Garamond" w:hAnsi="Garamond"/>
          <w:sz w:val="24"/>
          <w:szCs w:val="24"/>
          <w:lang w:val="en-US"/>
        </w:rPr>
        <w:t>al</w:t>
      </w:r>
      <w:r w:rsidR="00B56CCF" w:rsidRPr="00D56AF5">
        <w:rPr>
          <w:rFonts w:ascii="Garamond" w:hAnsi="Garamond"/>
          <w:sz w:val="24"/>
          <w:szCs w:val="24"/>
          <w:lang w:val="en-US"/>
        </w:rPr>
        <w:t xml:space="preserve">-legal </w:t>
      </w:r>
      <w:r w:rsidR="00556ED4" w:rsidRPr="00D56AF5">
        <w:rPr>
          <w:rFonts w:ascii="Garamond" w:hAnsi="Garamond"/>
          <w:sz w:val="24"/>
          <w:szCs w:val="24"/>
          <w:lang w:val="en-US"/>
        </w:rPr>
        <w:t>concept of sovereignty</w:t>
      </w:r>
      <w:r w:rsidR="00702F7D">
        <w:rPr>
          <w:rFonts w:ascii="Garamond" w:hAnsi="Garamond"/>
          <w:sz w:val="24"/>
          <w:szCs w:val="24"/>
          <w:lang w:val="en-US"/>
        </w:rPr>
        <w:t>.</w:t>
      </w:r>
      <w:r w:rsidR="00556ED4" w:rsidRPr="00D56AF5">
        <w:rPr>
          <w:rStyle w:val="FootnoteReference"/>
          <w:rFonts w:ascii="Garamond" w:hAnsi="Garamond"/>
          <w:sz w:val="24"/>
          <w:szCs w:val="24"/>
          <w:lang w:val="en-US"/>
        </w:rPr>
        <w:footnoteReference w:id="13"/>
      </w:r>
      <w:r w:rsidR="004824AC" w:rsidRPr="00D56AF5">
        <w:rPr>
          <w:rFonts w:ascii="Garamond" w:hAnsi="Garamond"/>
          <w:sz w:val="24"/>
          <w:szCs w:val="24"/>
          <w:lang w:val="en-US"/>
        </w:rPr>
        <w:t xml:space="preserve"> I confine my </w:t>
      </w:r>
      <w:r w:rsidR="002F04B6" w:rsidRPr="00D56AF5">
        <w:rPr>
          <w:rFonts w:ascii="Garamond" w:hAnsi="Garamond"/>
          <w:sz w:val="24"/>
          <w:szCs w:val="24"/>
          <w:lang w:val="en-US"/>
        </w:rPr>
        <w:t xml:space="preserve">inquiries to how the paradox manifests in the international legal order, in </w:t>
      </w:r>
      <w:r w:rsidR="0085204E">
        <w:rPr>
          <w:rFonts w:ascii="Garamond" w:hAnsi="Garamond"/>
          <w:sz w:val="24"/>
          <w:szCs w:val="24"/>
          <w:lang w:val="en-US"/>
        </w:rPr>
        <w:t>the context of</w:t>
      </w:r>
      <w:r w:rsidR="002F04B6" w:rsidRPr="00D56AF5">
        <w:rPr>
          <w:rFonts w:ascii="Garamond" w:hAnsi="Garamond"/>
          <w:sz w:val="24"/>
          <w:szCs w:val="24"/>
          <w:lang w:val="en-US"/>
        </w:rPr>
        <w:t xml:space="preserve"> external sovereignty</w:t>
      </w:r>
      <w:r w:rsidR="00DE12F3">
        <w:rPr>
          <w:rFonts w:ascii="Garamond" w:hAnsi="Garamond"/>
          <w:sz w:val="24"/>
          <w:szCs w:val="24"/>
          <w:lang w:val="en-US"/>
        </w:rPr>
        <w:t>.</w:t>
      </w:r>
      <w:r w:rsidR="00C110F2" w:rsidRPr="00D56AF5">
        <w:rPr>
          <w:rStyle w:val="FootnoteReference"/>
          <w:rFonts w:ascii="Garamond" w:hAnsi="Garamond"/>
          <w:sz w:val="24"/>
          <w:szCs w:val="24"/>
          <w:lang w:val="en-US"/>
        </w:rPr>
        <w:footnoteReference w:id="14"/>
      </w:r>
      <w:r w:rsidR="00C110F2" w:rsidRPr="00D56AF5">
        <w:rPr>
          <w:rFonts w:ascii="Garamond" w:hAnsi="Garamond"/>
          <w:sz w:val="24"/>
          <w:szCs w:val="24"/>
          <w:lang w:val="en-US"/>
        </w:rPr>
        <w:t xml:space="preserve"> </w:t>
      </w:r>
      <w:r w:rsidR="00282C53" w:rsidRPr="00D56AF5">
        <w:rPr>
          <w:rFonts w:ascii="Garamond" w:hAnsi="Garamond"/>
          <w:sz w:val="24"/>
          <w:szCs w:val="24"/>
          <w:lang w:val="en-US"/>
        </w:rPr>
        <w:t xml:space="preserve">I also focus on the paradox only in </w:t>
      </w:r>
      <w:r w:rsidR="0085204E">
        <w:rPr>
          <w:rFonts w:ascii="Garamond" w:hAnsi="Garamond"/>
          <w:sz w:val="24"/>
          <w:szCs w:val="24"/>
          <w:lang w:val="en-US"/>
        </w:rPr>
        <w:t>relation to</w:t>
      </w:r>
      <w:r w:rsidR="00282C53" w:rsidRPr="00D56AF5">
        <w:rPr>
          <w:rFonts w:ascii="Garamond" w:hAnsi="Garamond"/>
          <w:sz w:val="24"/>
          <w:szCs w:val="24"/>
          <w:lang w:val="en-US"/>
        </w:rPr>
        <w:t xml:space="preserve"> the assumption of </w:t>
      </w:r>
      <w:r w:rsidR="00CF2C4D" w:rsidRPr="00D56AF5">
        <w:rPr>
          <w:rFonts w:ascii="Garamond" w:hAnsi="Garamond"/>
          <w:sz w:val="24"/>
          <w:szCs w:val="24"/>
          <w:lang w:val="en-US"/>
        </w:rPr>
        <w:t xml:space="preserve">treaty </w:t>
      </w:r>
      <w:r w:rsidR="00282C53" w:rsidRPr="00D56AF5">
        <w:rPr>
          <w:rFonts w:ascii="Garamond" w:hAnsi="Garamond"/>
          <w:sz w:val="24"/>
          <w:szCs w:val="24"/>
          <w:lang w:val="en-US"/>
        </w:rPr>
        <w:t>obligations</w:t>
      </w:r>
      <w:r w:rsidR="00C110F2">
        <w:rPr>
          <w:rFonts w:ascii="Garamond" w:hAnsi="Garamond"/>
          <w:sz w:val="24"/>
          <w:szCs w:val="24"/>
          <w:lang w:val="en-US"/>
        </w:rPr>
        <w:t>.</w:t>
      </w:r>
      <w:r w:rsidR="00C110F2">
        <w:rPr>
          <w:rStyle w:val="FootnoteReference"/>
          <w:rFonts w:ascii="Garamond" w:hAnsi="Garamond"/>
          <w:sz w:val="24"/>
          <w:szCs w:val="24"/>
          <w:lang w:val="en-US"/>
        </w:rPr>
        <w:footnoteReference w:id="15"/>
      </w:r>
      <w:r w:rsidR="00282C53" w:rsidRPr="00D56AF5">
        <w:rPr>
          <w:rFonts w:ascii="Garamond" w:hAnsi="Garamond"/>
          <w:sz w:val="24"/>
          <w:szCs w:val="24"/>
          <w:lang w:val="en-US"/>
        </w:rPr>
        <w:t xml:space="preserve"> </w:t>
      </w:r>
      <w:r w:rsidR="0033041B">
        <w:rPr>
          <w:rFonts w:ascii="Garamond" w:hAnsi="Garamond"/>
          <w:sz w:val="24"/>
          <w:szCs w:val="24"/>
          <w:lang w:val="en-US"/>
        </w:rPr>
        <w:t xml:space="preserve">The </w:t>
      </w:r>
      <w:r w:rsidR="001F5824" w:rsidRPr="00D56AF5">
        <w:rPr>
          <w:rFonts w:ascii="Garamond" w:hAnsi="Garamond"/>
          <w:sz w:val="24"/>
          <w:szCs w:val="24"/>
          <w:lang w:val="en-US"/>
        </w:rPr>
        <w:t xml:space="preserve">thrust of my </w:t>
      </w:r>
      <w:r w:rsidR="00775D3C" w:rsidRPr="00D56AF5">
        <w:rPr>
          <w:rFonts w:ascii="Garamond" w:hAnsi="Garamond"/>
          <w:sz w:val="24"/>
          <w:szCs w:val="24"/>
          <w:lang w:val="en-US"/>
        </w:rPr>
        <w:t xml:space="preserve">argument is that </w:t>
      </w:r>
      <w:r w:rsidR="00DE12F3">
        <w:rPr>
          <w:rFonts w:ascii="Garamond" w:hAnsi="Garamond"/>
          <w:sz w:val="24"/>
          <w:szCs w:val="24"/>
          <w:lang w:val="en-US"/>
        </w:rPr>
        <w:t xml:space="preserve">treaty-based </w:t>
      </w:r>
      <w:r w:rsidR="001F5824" w:rsidRPr="00D56AF5">
        <w:rPr>
          <w:rFonts w:ascii="Garamond" w:hAnsi="Garamond"/>
          <w:sz w:val="24"/>
          <w:szCs w:val="24"/>
          <w:lang w:val="en-US"/>
        </w:rPr>
        <w:t xml:space="preserve">standing authorizations are not </w:t>
      </w:r>
      <w:r w:rsidR="001F5824" w:rsidRPr="00D56AF5">
        <w:rPr>
          <w:rFonts w:ascii="Garamond" w:hAnsi="Garamond"/>
          <w:sz w:val="24"/>
          <w:szCs w:val="24"/>
          <w:lang w:val="en-US"/>
        </w:rPr>
        <w:lastRenderedPageBreak/>
        <w:t>in</w:t>
      </w:r>
      <w:r w:rsidR="00DE12F3">
        <w:rPr>
          <w:rFonts w:ascii="Garamond" w:hAnsi="Garamond"/>
          <w:sz w:val="24"/>
          <w:szCs w:val="24"/>
          <w:lang w:val="en-US"/>
        </w:rPr>
        <w:t>herently</w:t>
      </w:r>
      <w:r w:rsidR="001F5824" w:rsidRPr="00D56AF5">
        <w:rPr>
          <w:rFonts w:ascii="Garamond" w:hAnsi="Garamond"/>
          <w:sz w:val="24"/>
          <w:szCs w:val="24"/>
          <w:lang w:val="en-US"/>
        </w:rPr>
        <w:t xml:space="preserve"> antithetical </w:t>
      </w:r>
      <w:r w:rsidR="00874426" w:rsidRPr="00D56AF5">
        <w:rPr>
          <w:rFonts w:ascii="Garamond" w:hAnsi="Garamond"/>
          <w:sz w:val="24"/>
          <w:szCs w:val="24"/>
          <w:lang w:val="en-US"/>
        </w:rPr>
        <w:t xml:space="preserve">to </w:t>
      </w:r>
      <w:r w:rsidR="001F5824" w:rsidRPr="00D56AF5">
        <w:rPr>
          <w:rFonts w:ascii="Garamond" w:hAnsi="Garamond"/>
          <w:sz w:val="24"/>
          <w:szCs w:val="24"/>
          <w:lang w:val="en-US"/>
        </w:rPr>
        <w:t xml:space="preserve">sovereignty, but in their present form, </w:t>
      </w:r>
      <w:r w:rsidR="00DE12F3">
        <w:rPr>
          <w:rFonts w:ascii="Garamond" w:hAnsi="Garamond"/>
          <w:sz w:val="24"/>
          <w:szCs w:val="24"/>
          <w:lang w:val="en-US"/>
        </w:rPr>
        <w:t xml:space="preserve">they </w:t>
      </w:r>
      <w:r w:rsidR="00590E7B" w:rsidRPr="00D56AF5">
        <w:rPr>
          <w:rFonts w:ascii="Garamond" w:hAnsi="Garamond"/>
          <w:sz w:val="24"/>
          <w:szCs w:val="24"/>
          <w:lang w:val="en-US"/>
        </w:rPr>
        <w:t xml:space="preserve">fail to </w:t>
      </w:r>
      <w:r w:rsidR="005C7347" w:rsidRPr="00D56AF5">
        <w:rPr>
          <w:rFonts w:ascii="Garamond" w:hAnsi="Garamond"/>
          <w:sz w:val="24"/>
          <w:szCs w:val="24"/>
          <w:lang w:val="en-US"/>
        </w:rPr>
        <w:t xml:space="preserve">forestall </w:t>
      </w:r>
      <w:r w:rsidR="005C7347" w:rsidRPr="00DE12F3">
        <w:rPr>
          <w:rFonts w:ascii="Garamond" w:hAnsi="Garamond"/>
          <w:i/>
          <w:iCs/>
          <w:sz w:val="24"/>
          <w:szCs w:val="24"/>
          <w:lang w:val="en-US"/>
        </w:rPr>
        <w:t>erosion</w:t>
      </w:r>
      <w:r w:rsidR="008919DA">
        <w:rPr>
          <w:rFonts w:ascii="Garamond" w:hAnsi="Garamond"/>
          <w:i/>
          <w:iCs/>
          <w:sz w:val="24"/>
          <w:szCs w:val="24"/>
          <w:lang w:val="en-US"/>
        </w:rPr>
        <w:t>s</w:t>
      </w:r>
      <w:r w:rsidR="005C7347" w:rsidRPr="00D56AF5">
        <w:rPr>
          <w:rFonts w:ascii="Garamond" w:hAnsi="Garamond"/>
          <w:sz w:val="24"/>
          <w:szCs w:val="24"/>
          <w:lang w:val="en-US"/>
        </w:rPr>
        <w:t xml:space="preserve"> to </w:t>
      </w:r>
      <w:r w:rsidR="003D1849">
        <w:rPr>
          <w:rFonts w:ascii="Garamond" w:hAnsi="Garamond"/>
          <w:sz w:val="24"/>
          <w:szCs w:val="24"/>
          <w:lang w:val="en-US"/>
        </w:rPr>
        <w:t xml:space="preserve">the concept of </w:t>
      </w:r>
      <w:r w:rsidR="005C7347" w:rsidRPr="00D56AF5">
        <w:rPr>
          <w:rFonts w:ascii="Garamond" w:hAnsi="Garamond"/>
          <w:sz w:val="24"/>
          <w:szCs w:val="24"/>
          <w:lang w:val="en-US"/>
        </w:rPr>
        <w:t>sovereignty.</w:t>
      </w:r>
      <w:r w:rsidR="00D35AD0" w:rsidRPr="00D35AD0">
        <w:rPr>
          <w:rStyle w:val="FootnoteReference"/>
          <w:rFonts w:ascii="Garamond" w:hAnsi="Garamond"/>
          <w:sz w:val="24"/>
          <w:szCs w:val="24"/>
          <w:lang w:val="en-US"/>
        </w:rPr>
        <w:t xml:space="preserve"> </w:t>
      </w:r>
      <w:r w:rsidR="00D35AD0" w:rsidRPr="00D56AF5">
        <w:rPr>
          <w:rStyle w:val="FootnoteReference"/>
          <w:rFonts w:ascii="Garamond" w:hAnsi="Garamond"/>
          <w:sz w:val="24"/>
          <w:szCs w:val="24"/>
          <w:lang w:val="en-US"/>
        </w:rPr>
        <w:footnoteReference w:id="16"/>
      </w:r>
      <w:r w:rsidR="00A61C5D" w:rsidRPr="00D56AF5">
        <w:rPr>
          <w:rFonts w:ascii="Garamond" w:hAnsi="Garamond"/>
          <w:sz w:val="24"/>
          <w:szCs w:val="24"/>
          <w:lang w:val="en-US"/>
        </w:rPr>
        <w:t xml:space="preserve"> </w:t>
      </w:r>
      <w:r w:rsidR="00184304" w:rsidRPr="00D56AF5">
        <w:rPr>
          <w:rFonts w:ascii="Garamond" w:hAnsi="Garamond"/>
          <w:sz w:val="24"/>
          <w:szCs w:val="24"/>
          <w:lang w:val="en-US"/>
        </w:rPr>
        <w:t>Accordingly</w:t>
      </w:r>
      <w:r w:rsidR="00A61C5D" w:rsidRPr="00D56AF5">
        <w:rPr>
          <w:rFonts w:ascii="Garamond" w:hAnsi="Garamond"/>
          <w:sz w:val="24"/>
          <w:szCs w:val="24"/>
          <w:lang w:val="en-US"/>
        </w:rPr>
        <w:t xml:space="preserve">, it may be valuable to consider </w:t>
      </w:r>
      <w:r w:rsidR="000C302C" w:rsidRPr="00D56AF5">
        <w:rPr>
          <w:rFonts w:ascii="Garamond" w:hAnsi="Garamond"/>
          <w:sz w:val="24"/>
          <w:szCs w:val="24"/>
          <w:lang w:val="en-US"/>
        </w:rPr>
        <w:t xml:space="preserve">substantive </w:t>
      </w:r>
      <w:r w:rsidR="00A61C5D" w:rsidRPr="00D56AF5">
        <w:rPr>
          <w:rFonts w:ascii="Garamond" w:hAnsi="Garamond"/>
          <w:sz w:val="24"/>
          <w:szCs w:val="24"/>
          <w:lang w:val="en-US"/>
        </w:rPr>
        <w:t xml:space="preserve">safeguards </w:t>
      </w:r>
      <w:r w:rsidR="00DE12F3">
        <w:rPr>
          <w:rFonts w:ascii="Garamond" w:hAnsi="Garamond"/>
          <w:sz w:val="24"/>
          <w:szCs w:val="24"/>
          <w:lang w:val="en-US"/>
        </w:rPr>
        <w:t>that</w:t>
      </w:r>
      <w:r w:rsidR="00DE12F3" w:rsidRPr="00D56AF5">
        <w:rPr>
          <w:rFonts w:ascii="Garamond" w:hAnsi="Garamond"/>
          <w:sz w:val="24"/>
          <w:szCs w:val="24"/>
          <w:lang w:val="en-US"/>
        </w:rPr>
        <w:t xml:space="preserve"> </w:t>
      </w:r>
      <w:r w:rsidR="00635B82" w:rsidRPr="00D56AF5">
        <w:rPr>
          <w:rFonts w:ascii="Garamond" w:hAnsi="Garamond"/>
          <w:sz w:val="24"/>
          <w:szCs w:val="24"/>
          <w:lang w:val="en-US"/>
        </w:rPr>
        <w:t>protect the values at the core of sovereignty.</w:t>
      </w:r>
    </w:p>
    <w:p w14:paraId="18A0EF96" w14:textId="3F6C3AFC" w:rsidR="00C47EEB" w:rsidRPr="00D56AF5" w:rsidRDefault="00E050DB" w:rsidP="001340AF">
      <w:pPr>
        <w:spacing w:after="120" w:line="480" w:lineRule="auto"/>
        <w:jc w:val="both"/>
        <w:rPr>
          <w:rFonts w:ascii="Garamond" w:hAnsi="Garamond"/>
          <w:sz w:val="24"/>
          <w:szCs w:val="24"/>
          <w:lang w:val="en-US"/>
        </w:rPr>
      </w:pPr>
      <w:r w:rsidRPr="00D56AF5">
        <w:rPr>
          <w:rFonts w:ascii="Garamond" w:hAnsi="Garamond"/>
          <w:sz w:val="24"/>
          <w:szCs w:val="24"/>
          <w:lang w:val="en-US"/>
        </w:rPr>
        <w:t>My argument proceed</w:t>
      </w:r>
      <w:r w:rsidR="00DE12F3">
        <w:rPr>
          <w:rFonts w:ascii="Garamond" w:hAnsi="Garamond"/>
          <w:sz w:val="24"/>
          <w:szCs w:val="24"/>
          <w:lang w:val="en-US"/>
        </w:rPr>
        <w:t>s</w:t>
      </w:r>
      <w:r w:rsidRPr="00D56AF5">
        <w:rPr>
          <w:rFonts w:ascii="Garamond" w:hAnsi="Garamond"/>
          <w:sz w:val="24"/>
          <w:szCs w:val="24"/>
          <w:lang w:val="en-US"/>
        </w:rPr>
        <w:t xml:space="preserve"> in </w:t>
      </w:r>
      <w:r w:rsidR="00AA1802" w:rsidRPr="00D56AF5">
        <w:rPr>
          <w:rFonts w:ascii="Garamond" w:hAnsi="Garamond"/>
          <w:sz w:val="24"/>
          <w:szCs w:val="24"/>
          <w:lang w:val="en-US"/>
        </w:rPr>
        <w:t>two</w:t>
      </w:r>
      <w:r w:rsidRPr="00D56AF5">
        <w:rPr>
          <w:rFonts w:ascii="Garamond" w:hAnsi="Garamond"/>
          <w:sz w:val="24"/>
          <w:szCs w:val="24"/>
          <w:lang w:val="en-US"/>
        </w:rPr>
        <w:t xml:space="preserve"> parts. </w:t>
      </w:r>
      <w:r w:rsidR="00C47EEB" w:rsidRPr="00D56AF5">
        <w:rPr>
          <w:rFonts w:ascii="Garamond" w:hAnsi="Garamond"/>
          <w:sz w:val="24"/>
          <w:szCs w:val="24"/>
          <w:lang w:val="en-US"/>
        </w:rPr>
        <w:t xml:space="preserve">In Part </w:t>
      </w:r>
      <w:r w:rsidR="000201AD" w:rsidRPr="00D56AF5">
        <w:rPr>
          <w:rFonts w:ascii="Garamond" w:hAnsi="Garamond"/>
          <w:sz w:val="24"/>
          <w:szCs w:val="24"/>
          <w:lang w:val="en-US"/>
        </w:rPr>
        <w:t>1</w:t>
      </w:r>
      <w:r w:rsidR="00C47EEB" w:rsidRPr="00D56AF5">
        <w:rPr>
          <w:rFonts w:ascii="Garamond" w:hAnsi="Garamond"/>
          <w:sz w:val="24"/>
          <w:szCs w:val="24"/>
          <w:lang w:val="en-US"/>
        </w:rPr>
        <w:t xml:space="preserve">, I interrogate the concept of </w:t>
      </w:r>
      <w:r w:rsidR="000C47D7" w:rsidRPr="00D56AF5">
        <w:rPr>
          <w:rFonts w:ascii="Garamond" w:hAnsi="Garamond"/>
          <w:sz w:val="24"/>
          <w:szCs w:val="24"/>
          <w:lang w:val="en-US"/>
        </w:rPr>
        <w:t xml:space="preserve">external </w:t>
      </w:r>
      <w:r w:rsidR="00C47EEB" w:rsidRPr="00D56AF5">
        <w:rPr>
          <w:rFonts w:ascii="Garamond" w:hAnsi="Garamond"/>
          <w:sz w:val="24"/>
          <w:szCs w:val="24"/>
          <w:lang w:val="en-US"/>
        </w:rPr>
        <w:t xml:space="preserve">sovereignty </w:t>
      </w:r>
      <w:r w:rsidR="00F24EF2" w:rsidRPr="00D56AF5">
        <w:rPr>
          <w:rFonts w:ascii="Garamond" w:hAnsi="Garamond"/>
          <w:sz w:val="24"/>
          <w:szCs w:val="24"/>
          <w:lang w:val="en-US"/>
        </w:rPr>
        <w:t xml:space="preserve">under international law </w:t>
      </w:r>
      <w:r w:rsidR="00B609EB" w:rsidRPr="00D56AF5">
        <w:rPr>
          <w:rFonts w:ascii="Garamond" w:hAnsi="Garamond"/>
          <w:sz w:val="24"/>
          <w:szCs w:val="24"/>
          <w:lang w:val="en-US"/>
        </w:rPr>
        <w:t>and identify its nature as a political-legal and normative concept. I then apply this understanding of sovereignty to resolve the paradox that arises when the state – which is supposed to have ultimate authority – is subjected to the authority of international law.</w:t>
      </w:r>
      <w:r w:rsidR="00770A6D" w:rsidRPr="00D56AF5">
        <w:rPr>
          <w:rFonts w:ascii="Garamond" w:hAnsi="Garamond"/>
          <w:sz w:val="24"/>
          <w:szCs w:val="24"/>
          <w:lang w:val="en-US"/>
        </w:rPr>
        <w:t xml:space="preserve"> I explain how </w:t>
      </w:r>
      <w:r w:rsidR="00C6397E" w:rsidRPr="00D56AF5">
        <w:rPr>
          <w:rFonts w:ascii="Garamond" w:hAnsi="Garamond"/>
          <w:sz w:val="24"/>
          <w:szCs w:val="24"/>
          <w:lang w:val="en-US"/>
        </w:rPr>
        <w:t xml:space="preserve">a </w:t>
      </w:r>
      <w:r w:rsidR="00A51E2B" w:rsidRPr="00D56AF5">
        <w:rPr>
          <w:rFonts w:ascii="Garamond" w:hAnsi="Garamond"/>
          <w:sz w:val="24"/>
          <w:szCs w:val="24"/>
          <w:lang w:val="en-US"/>
        </w:rPr>
        <w:t xml:space="preserve">purely procedural </w:t>
      </w:r>
      <w:r w:rsidR="00DE36DC" w:rsidRPr="00D56AF5">
        <w:rPr>
          <w:rFonts w:ascii="Garamond" w:hAnsi="Garamond"/>
          <w:sz w:val="24"/>
          <w:szCs w:val="24"/>
          <w:lang w:val="en-US"/>
        </w:rPr>
        <w:t>grounding of</w:t>
      </w:r>
      <w:r w:rsidR="001667AA" w:rsidRPr="00D56AF5">
        <w:rPr>
          <w:rFonts w:ascii="Garamond" w:hAnsi="Garamond"/>
          <w:sz w:val="24"/>
          <w:szCs w:val="24"/>
          <w:lang w:val="en-US"/>
        </w:rPr>
        <w:t xml:space="preserve"> treaty-commitments </w:t>
      </w:r>
      <w:r w:rsidR="00DE36DC" w:rsidRPr="00D56AF5">
        <w:rPr>
          <w:rFonts w:ascii="Garamond" w:hAnsi="Garamond"/>
          <w:sz w:val="24"/>
          <w:szCs w:val="24"/>
          <w:lang w:val="en-US"/>
        </w:rPr>
        <w:t>in</w:t>
      </w:r>
      <w:r w:rsidR="001667AA" w:rsidRPr="00D56AF5">
        <w:rPr>
          <w:rFonts w:ascii="Garamond" w:hAnsi="Garamond"/>
          <w:sz w:val="24"/>
          <w:szCs w:val="24"/>
          <w:lang w:val="en-US"/>
        </w:rPr>
        <w:t xml:space="preserve"> state consent</w:t>
      </w:r>
      <w:r w:rsidR="00BA0CA8" w:rsidRPr="00D56AF5">
        <w:rPr>
          <w:rFonts w:ascii="Garamond" w:hAnsi="Garamond"/>
          <w:sz w:val="24"/>
          <w:szCs w:val="24"/>
          <w:lang w:val="en-US"/>
        </w:rPr>
        <w:t xml:space="preserve"> </w:t>
      </w:r>
      <w:r w:rsidR="00DB4072" w:rsidRPr="00D56AF5">
        <w:rPr>
          <w:rFonts w:ascii="Garamond" w:hAnsi="Garamond"/>
          <w:sz w:val="24"/>
          <w:szCs w:val="24"/>
          <w:lang w:val="en-US"/>
        </w:rPr>
        <w:t xml:space="preserve">fails to </w:t>
      </w:r>
      <w:r w:rsidR="00BA0CA8" w:rsidRPr="00D56AF5">
        <w:rPr>
          <w:rFonts w:ascii="Garamond" w:hAnsi="Garamond"/>
          <w:sz w:val="24"/>
          <w:szCs w:val="24"/>
          <w:lang w:val="en-US"/>
        </w:rPr>
        <w:t>expla</w:t>
      </w:r>
      <w:r w:rsidR="00DB4072" w:rsidRPr="00D56AF5">
        <w:rPr>
          <w:rFonts w:ascii="Garamond" w:hAnsi="Garamond"/>
          <w:sz w:val="24"/>
          <w:szCs w:val="24"/>
          <w:lang w:val="en-US"/>
        </w:rPr>
        <w:t xml:space="preserve">in </w:t>
      </w:r>
      <w:r w:rsidR="00BA0CA8" w:rsidRPr="00D56AF5">
        <w:rPr>
          <w:rFonts w:ascii="Garamond" w:hAnsi="Garamond"/>
          <w:sz w:val="24"/>
          <w:szCs w:val="24"/>
          <w:lang w:val="en-US"/>
        </w:rPr>
        <w:t>international law’s authority over states</w:t>
      </w:r>
      <w:r w:rsidR="00053B11" w:rsidRPr="00D56AF5">
        <w:rPr>
          <w:rFonts w:ascii="Garamond" w:hAnsi="Garamond"/>
          <w:sz w:val="24"/>
          <w:szCs w:val="24"/>
          <w:lang w:val="en-US"/>
        </w:rPr>
        <w:t xml:space="preserve">. </w:t>
      </w:r>
      <w:r w:rsidR="00AA1802" w:rsidRPr="00D56AF5">
        <w:rPr>
          <w:rFonts w:ascii="Garamond" w:hAnsi="Garamond"/>
          <w:sz w:val="24"/>
          <w:szCs w:val="24"/>
          <w:lang w:val="en-US"/>
        </w:rPr>
        <w:t>Rather</w:t>
      </w:r>
      <w:r w:rsidR="00053B11" w:rsidRPr="00D56AF5">
        <w:rPr>
          <w:rFonts w:ascii="Garamond" w:hAnsi="Garamond"/>
          <w:sz w:val="24"/>
          <w:szCs w:val="24"/>
          <w:lang w:val="en-US"/>
        </w:rPr>
        <w:t xml:space="preserve">, law’s authority </w:t>
      </w:r>
      <w:r w:rsidR="009E045B" w:rsidRPr="00D56AF5">
        <w:rPr>
          <w:rFonts w:ascii="Garamond" w:hAnsi="Garamond"/>
          <w:sz w:val="24"/>
          <w:szCs w:val="24"/>
          <w:lang w:val="en-US"/>
        </w:rPr>
        <w:t>is justified by its furtherance of the values incorporated by sovereignty</w:t>
      </w:r>
      <w:r w:rsidR="00AA1802" w:rsidRPr="00D56AF5">
        <w:rPr>
          <w:rFonts w:ascii="Garamond" w:hAnsi="Garamond"/>
          <w:sz w:val="24"/>
          <w:szCs w:val="24"/>
          <w:lang w:val="en-US"/>
        </w:rPr>
        <w:t xml:space="preserve">. </w:t>
      </w:r>
      <w:proofErr w:type="gramStart"/>
      <w:r w:rsidR="00AA1802" w:rsidRPr="00D56AF5">
        <w:rPr>
          <w:rFonts w:ascii="Garamond" w:hAnsi="Garamond"/>
          <w:sz w:val="24"/>
          <w:szCs w:val="24"/>
          <w:lang w:val="en-US"/>
        </w:rPr>
        <w:t>As a consequence</w:t>
      </w:r>
      <w:proofErr w:type="gramEnd"/>
      <w:r w:rsidR="00AA1802" w:rsidRPr="00D56AF5">
        <w:rPr>
          <w:rFonts w:ascii="Garamond" w:hAnsi="Garamond"/>
          <w:sz w:val="24"/>
          <w:szCs w:val="24"/>
          <w:lang w:val="en-US"/>
        </w:rPr>
        <w:t>,</w:t>
      </w:r>
      <w:r w:rsidR="00665BA0" w:rsidRPr="00D56AF5">
        <w:rPr>
          <w:rFonts w:ascii="Garamond" w:hAnsi="Garamond"/>
          <w:sz w:val="24"/>
          <w:szCs w:val="24"/>
          <w:lang w:val="en-US"/>
        </w:rPr>
        <w:t xml:space="preserve"> unjustified international legal commitments can erode </w:t>
      </w:r>
      <w:r w:rsidR="0060664D" w:rsidRPr="00D56AF5">
        <w:rPr>
          <w:rFonts w:ascii="Garamond" w:hAnsi="Garamond"/>
          <w:sz w:val="24"/>
          <w:szCs w:val="24"/>
          <w:lang w:val="en-US"/>
        </w:rPr>
        <w:t>sovereignty</w:t>
      </w:r>
      <w:r w:rsidR="00687D77" w:rsidRPr="00D56AF5">
        <w:rPr>
          <w:rFonts w:ascii="Garamond" w:hAnsi="Garamond"/>
          <w:sz w:val="24"/>
          <w:szCs w:val="24"/>
          <w:lang w:val="en-US"/>
        </w:rPr>
        <w:t xml:space="preserve">. </w:t>
      </w:r>
    </w:p>
    <w:p w14:paraId="799EBD32" w14:textId="45FBC0DF" w:rsidR="002B73B4" w:rsidRDefault="00DE36DC"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In Part </w:t>
      </w:r>
      <w:r w:rsidR="000201AD" w:rsidRPr="00D56AF5">
        <w:rPr>
          <w:rFonts w:ascii="Garamond" w:hAnsi="Garamond"/>
          <w:sz w:val="24"/>
          <w:szCs w:val="24"/>
          <w:lang w:val="en-US"/>
        </w:rPr>
        <w:t>2</w:t>
      </w:r>
      <w:r w:rsidRPr="00D56AF5">
        <w:rPr>
          <w:rFonts w:ascii="Garamond" w:hAnsi="Garamond"/>
          <w:sz w:val="24"/>
          <w:szCs w:val="24"/>
          <w:lang w:val="en-US"/>
        </w:rPr>
        <w:t xml:space="preserve">, I </w:t>
      </w:r>
      <w:r w:rsidR="00332EAB" w:rsidRPr="00D56AF5">
        <w:rPr>
          <w:rFonts w:ascii="Garamond" w:hAnsi="Garamond"/>
          <w:sz w:val="24"/>
          <w:szCs w:val="24"/>
          <w:lang w:val="en-US"/>
        </w:rPr>
        <w:t xml:space="preserve">examine </w:t>
      </w:r>
      <w:r w:rsidR="001F2E0D" w:rsidRPr="00D56AF5">
        <w:rPr>
          <w:rFonts w:ascii="Garamond" w:hAnsi="Garamond"/>
          <w:sz w:val="24"/>
          <w:szCs w:val="24"/>
          <w:lang w:val="en-US"/>
        </w:rPr>
        <w:t xml:space="preserve">treaty-based </w:t>
      </w:r>
      <w:r w:rsidR="00332EAB" w:rsidRPr="00D56AF5">
        <w:rPr>
          <w:rFonts w:ascii="Garamond" w:hAnsi="Garamond"/>
          <w:sz w:val="24"/>
          <w:szCs w:val="24"/>
          <w:lang w:val="en-US"/>
        </w:rPr>
        <w:t xml:space="preserve">standing authorizations for pro-democratic interventions within the framework of </w:t>
      </w:r>
      <w:r w:rsidR="002A00CF">
        <w:rPr>
          <w:rFonts w:ascii="Garamond" w:hAnsi="Garamond"/>
          <w:sz w:val="24"/>
          <w:szCs w:val="24"/>
          <w:lang w:val="en-US"/>
        </w:rPr>
        <w:t>the solution to the paradox</w:t>
      </w:r>
      <w:r w:rsidR="00332EAB" w:rsidRPr="00D56AF5">
        <w:rPr>
          <w:rFonts w:ascii="Garamond" w:hAnsi="Garamond"/>
          <w:sz w:val="24"/>
          <w:szCs w:val="24"/>
          <w:lang w:val="en-US"/>
        </w:rPr>
        <w:t xml:space="preserve">, showing that </w:t>
      </w:r>
      <w:r w:rsidR="007043DA" w:rsidRPr="00D56AF5">
        <w:rPr>
          <w:rFonts w:ascii="Garamond" w:hAnsi="Garamond"/>
          <w:sz w:val="24"/>
          <w:szCs w:val="24"/>
          <w:lang w:val="en-US"/>
        </w:rPr>
        <w:t xml:space="preserve">standing authorizations are not inherently incompatible with sovereignty by virtue of being treaty obligations, but </w:t>
      </w:r>
      <w:r w:rsidR="002B13FD" w:rsidRPr="00D56AF5">
        <w:rPr>
          <w:rFonts w:ascii="Garamond" w:hAnsi="Garamond"/>
          <w:sz w:val="24"/>
          <w:szCs w:val="24"/>
          <w:lang w:val="en-US"/>
        </w:rPr>
        <w:t>their structural defects</w:t>
      </w:r>
      <w:r w:rsidR="007043DA" w:rsidRPr="00D56AF5">
        <w:rPr>
          <w:rFonts w:ascii="Garamond" w:hAnsi="Garamond"/>
          <w:sz w:val="24"/>
          <w:szCs w:val="24"/>
          <w:lang w:val="en-US"/>
        </w:rPr>
        <w:t xml:space="preserve"> pose risks of erosion to sovereignty. </w:t>
      </w:r>
      <w:r w:rsidR="0052059F" w:rsidRPr="00D56AF5">
        <w:rPr>
          <w:rFonts w:ascii="Garamond" w:hAnsi="Garamond"/>
          <w:sz w:val="24"/>
          <w:szCs w:val="24"/>
          <w:lang w:val="en-US"/>
        </w:rPr>
        <w:t xml:space="preserve">I </w:t>
      </w:r>
      <w:r w:rsidR="0092102B" w:rsidRPr="00D56AF5">
        <w:rPr>
          <w:rFonts w:ascii="Garamond" w:hAnsi="Garamond"/>
          <w:sz w:val="24"/>
          <w:szCs w:val="24"/>
          <w:lang w:val="en-US"/>
        </w:rPr>
        <w:t>demonstrate this by showing how standing authorizations</w:t>
      </w:r>
      <w:r w:rsidR="000416E5">
        <w:rPr>
          <w:rFonts w:ascii="Garamond" w:hAnsi="Garamond"/>
          <w:sz w:val="24"/>
          <w:szCs w:val="24"/>
          <w:lang w:val="en-US"/>
        </w:rPr>
        <w:t xml:space="preserve"> can</w:t>
      </w:r>
      <w:r w:rsidR="0092102B" w:rsidRPr="00D56AF5">
        <w:rPr>
          <w:rFonts w:ascii="Garamond" w:hAnsi="Garamond"/>
          <w:sz w:val="24"/>
          <w:szCs w:val="24"/>
          <w:lang w:val="en-US"/>
        </w:rPr>
        <w:t xml:space="preserve"> </w:t>
      </w:r>
      <w:r w:rsidR="00787973" w:rsidRPr="00D56AF5">
        <w:rPr>
          <w:rFonts w:ascii="Garamond" w:hAnsi="Garamond"/>
          <w:sz w:val="24"/>
          <w:szCs w:val="24"/>
          <w:lang w:val="en-US"/>
        </w:rPr>
        <w:t xml:space="preserve">deprive the state of sovereign competences in matters where the </w:t>
      </w:r>
      <w:r w:rsidR="00D159AD">
        <w:rPr>
          <w:rFonts w:ascii="Garamond" w:hAnsi="Garamond"/>
          <w:sz w:val="24"/>
          <w:szCs w:val="24"/>
          <w:lang w:val="en-US"/>
        </w:rPr>
        <w:t xml:space="preserve">beleaguered </w:t>
      </w:r>
      <w:r w:rsidR="00787973" w:rsidRPr="00D56AF5">
        <w:rPr>
          <w:rFonts w:ascii="Garamond" w:hAnsi="Garamond"/>
          <w:sz w:val="24"/>
          <w:szCs w:val="24"/>
          <w:lang w:val="en-US"/>
        </w:rPr>
        <w:t xml:space="preserve">state would be better disposed to further the values </w:t>
      </w:r>
      <w:r w:rsidR="00CA46E6" w:rsidRPr="00D56AF5">
        <w:rPr>
          <w:rFonts w:ascii="Garamond" w:hAnsi="Garamond"/>
          <w:sz w:val="24"/>
          <w:szCs w:val="24"/>
          <w:lang w:val="en-US"/>
        </w:rPr>
        <w:t xml:space="preserve">underpinning the international legal order. </w:t>
      </w:r>
      <w:r w:rsidR="00A875D1" w:rsidRPr="00D56AF5">
        <w:rPr>
          <w:rFonts w:ascii="Garamond" w:hAnsi="Garamond"/>
          <w:sz w:val="24"/>
          <w:szCs w:val="24"/>
          <w:lang w:val="en-US"/>
        </w:rPr>
        <w:t xml:space="preserve"> </w:t>
      </w:r>
    </w:p>
    <w:p w14:paraId="289F0DC1" w14:textId="77777777" w:rsidR="006528C1" w:rsidRPr="00D56AF5" w:rsidRDefault="006528C1" w:rsidP="001340AF">
      <w:pPr>
        <w:spacing w:after="120" w:line="480" w:lineRule="auto"/>
        <w:jc w:val="both"/>
        <w:rPr>
          <w:rFonts w:ascii="Garamond" w:hAnsi="Garamond"/>
          <w:sz w:val="24"/>
          <w:szCs w:val="24"/>
          <w:lang w:val="en-US"/>
        </w:rPr>
      </w:pPr>
    </w:p>
    <w:p w14:paraId="2994AC5A" w14:textId="5D148C0E" w:rsidR="00C35FE1" w:rsidRPr="00D56AF5" w:rsidRDefault="00846F0B" w:rsidP="001340AF">
      <w:pPr>
        <w:pStyle w:val="Heading1"/>
        <w:numPr>
          <w:ilvl w:val="0"/>
          <w:numId w:val="35"/>
        </w:numPr>
        <w:spacing w:line="480" w:lineRule="auto"/>
        <w:rPr>
          <w:szCs w:val="24"/>
          <w:lang w:val="en-US"/>
        </w:rPr>
      </w:pPr>
      <w:bookmarkStart w:id="2" w:name="_Toc169217162"/>
      <w:bookmarkStart w:id="3" w:name="_Toc191740722"/>
      <w:r w:rsidRPr="00D56AF5">
        <w:rPr>
          <w:szCs w:val="24"/>
          <w:lang w:val="en-US"/>
        </w:rPr>
        <w:lastRenderedPageBreak/>
        <w:t xml:space="preserve">The legal concept of sovereignty and </w:t>
      </w:r>
      <w:r w:rsidR="00BB0C83" w:rsidRPr="00D56AF5">
        <w:rPr>
          <w:szCs w:val="24"/>
          <w:lang w:val="en-US"/>
        </w:rPr>
        <w:t>the paradox in treaty-making</w:t>
      </w:r>
      <w:bookmarkEnd w:id="2"/>
      <w:bookmarkEnd w:id="3"/>
      <w:r w:rsidR="00BB0C83" w:rsidRPr="00D56AF5">
        <w:rPr>
          <w:szCs w:val="24"/>
          <w:lang w:val="en-US"/>
        </w:rPr>
        <w:t xml:space="preserve"> </w:t>
      </w:r>
    </w:p>
    <w:p w14:paraId="677B9B2E" w14:textId="128104F4" w:rsidR="00743B57" w:rsidRDefault="00743B57" w:rsidP="001340AF">
      <w:pPr>
        <w:spacing w:after="120" w:line="480" w:lineRule="auto"/>
        <w:jc w:val="both"/>
        <w:rPr>
          <w:rFonts w:ascii="Garamond" w:hAnsi="Garamond"/>
          <w:sz w:val="24"/>
          <w:szCs w:val="24"/>
          <w:lang w:val="en-US"/>
        </w:rPr>
      </w:pPr>
      <w:r w:rsidRPr="00896F59">
        <w:rPr>
          <w:rFonts w:ascii="Garamond" w:hAnsi="Garamond"/>
          <w:sz w:val="24"/>
          <w:szCs w:val="24"/>
          <w:lang w:val="en-US"/>
        </w:rPr>
        <w:t>Although there is no universal</w:t>
      </w:r>
      <w:r w:rsidR="0091207B">
        <w:rPr>
          <w:rFonts w:ascii="Garamond" w:hAnsi="Garamond"/>
          <w:sz w:val="24"/>
          <w:szCs w:val="24"/>
          <w:lang w:val="en-US"/>
        </w:rPr>
        <w:t xml:space="preserve"> </w:t>
      </w:r>
      <w:r w:rsidRPr="00896F59">
        <w:rPr>
          <w:rFonts w:ascii="Garamond" w:hAnsi="Garamond"/>
          <w:sz w:val="24"/>
          <w:szCs w:val="24"/>
          <w:lang w:val="en-US"/>
        </w:rPr>
        <w:t>definition of sovereignty,</w:t>
      </w:r>
      <w:r w:rsidRPr="00D56AF5">
        <w:rPr>
          <w:rStyle w:val="FootnoteReference"/>
          <w:rFonts w:ascii="Garamond" w:hAnsi="Garamond"/>
          <w:sz w:val="24"/>
          <w:szCs w:val="24"/>
          <w:lang w:val="en-US"/>
        </w:rPr>
        <w:footnoteReference w:id="17"/>
      </w:r>
      <w:r w:rsidRPr="00896F59">
        <w:rPr>
          <w:rFonts w:ascii="Garamond" w:hAnsi="Garamond"/>
          <w:sz w:val="24"/>
          <w:szCs w:val="24"/>
          <w:lang w:val="en-US"/>
        </w:rPr>
        <w:t xml:space="preserve"> historically, the concept emerged as the idea of supreme political authority in a state.</w:t>
      </w:r>
      <w:r w:rsidRPr="00D56AF5">
        <w:rPr>
          <w:rStyle w:val="FootnoteReference"/>
          <w:rFonts w:ascii="Garamond" w:hAnsi="Garamond"/>
          <w:sz w:val="24"/>
          <w:szCs w:val="24"/>
          <w:lang w:val="en-US"/>
        </w:rPr>
        <w:footnoteReference w:id="18"/>
      </w:r>
      <w:r w:rsidRPr="00896F59">
        <w:rPr>
          <w:rFonts w:ascii="Garamond" w:hAnsi="Garamond"/>
          <w:sz w:val="24"/>
          <w:szCs w:val="24"/>
          <w:lang w:val="en-US"/>
        </w:rPr>
        <w:t xml:space="preserve"> In modern international law, it consists of two dimensions</w:t>
      </w:r>
      <w:r w:rsidR="00F006AD">
        <w:rPr>
          <w:rFonts w:ascii="Garamond" w:hAnsi="Garamond"/>
          <w:sz w:val="24"/>
          <w:szCs w:val="24"/>
          <w:lang w:val="en-US"/>
        </w:rPr>
        <w:t xml:space="preserve"> </w:t>
      </w:r>
      <w:r w:rsidRPr="00896F59">
        <w:rPr>
          <w:rFonts w:ascii="Garamond" w:hAnsi="Garamond"/>
          <w:sz w:val="24"/>
          <w:szCs w:val="24"/>
          <w:lang w:val="en-US"/>
        </w:rPr>
        <w:t>– supreme internal authority over a state’s territory (internal sovereignty), and absolute external independence from interference by other states or entities on the international plane (external sovereignty).</w:t>
      </w:r>
      <w:r w:rsidRPr="00D56AF5">
        <w:rPr>
          <w:rStyle w:val="FootnoteReference"/>
          <w:rFonts w:ascii="Garamond" w:hAnsi="Garamond"/>
          <w:sz w:val="24"/>
          <w:szCs w:val="24"/>
          <w:lang w:val="en-US"/>
        </w:rPr>
        <w:footnoteReference w:id="19"/>
      </w:r>
      <w:r w:rsidRPr="00896F59">
        <w:rPr>
          <w:rFonts w:ascii="Garamond" w:hAnsi="Garamond"/>
          <w:sz w:val="24"/>
          <w:szCs w:val="24"/>
          <w:lang w:val="en-US"/>
        </w:rPr>
        <w:t xml:space="preserve"> </w:t>
      </w:r>
    </w:p>
    <w:p w14:paraId="1F5DDF51" w14:textId="3A21FEFF" w:rsidR="00615D00" w:rsidRPr="00D56AF5" w:rsidRDefault="00F006AD" w:rsidP="001340AF">
      <w:pPr>
        <w:spacing w:after="120" w:line="480" w:lineRule="auto"/>
        <w:jc w:val="both"/>
        <w:rPr>
          <w:rFonts w:ascii="Garamond" w:hAnsi="Garamond"/>
          <w:sz w:val="24"/>
          <w:szCs w:val="24"/>
          <w:lang w:val="en-US"/>
        </w:rPr>
      </w:pPr>
      <w:r>
        <w:rPr>
          <w:rFonts w:ascii="Garamond" w:hAnsi="Garamond"/>
          <w:sz w:val="24"/>
          <w:szCs w:val="24"/>
          <w:lang w:val="en-US"/>
        </w:rPr>
        <w:t xml:space="preserve">Juxtaposed against international legal commitments, the </w:t>
      </w:r>
      <w:r w:rsidR="00B666A1">
        <w:rPr>
          <w:rFonts w:ascii="Garamond" w:hAnsi="Garamond"/>
          <w:sz w:val="24"/>
          <w:szCs w:val="24"/>
          <w:lang w:val="en-US"/>
        </w:rPr>
        <w:t>concept of external sovereignty naturally prompts certain questions. H</w:t>
      </w:r>
      <w:r w:rsidR="00615D00" w:rsidRPr="00D56AF5">
        <w:rPr>
          <w:rFonts w:ascii="Garamond" w:hAnsi="Garamond"/>
          <w:sz w:val="24"/>
          <w:szCs w:val="24"/>
          <w:lang w:val="en-US"/>
        </w:rPr>
        <w:t xml:space="preserve">ow can treaty restrictions remain binding </w:t>
      </w:r>
      <w:r w:rsidR="00B666A1">
        <w:rPr>
          <w:rFonts w:ascii="Garamond" w:hAnsi="Garamond"/>
          <w:sz w:val="24"/>
          <w:szCs w:val="24"/>
          <w:lang w:val="en-US"/>
        </w:rPr>
        <w:t xml:space="preserve">on </w:t>
      </w:r>
      <w:r w:rsidR="00615D00" w:rsidRPr="00D56AF5">
        <w:rPr>
          <w:rFonts w:ascii="Garamond" w:hAnsi="Garamond"/>
          <w:sz w:val="24"/>
          <w:szCs w:val="24"/>
          <w:lang w:val="en-US"/>
        </w:rPr>
        <w:t>state</w:t>
      </w:r>
      <w:r w:rsidR="00B666A1">
        <w:rPr>
          <w:rFonts w:ascii="Garamond" w:hAnsi="Garamond"/>
          <w:sz w:val="24"/>
          <w:szCs w:val="24"/>
          <w:lang w:val="en-US"/>
        </w:rPr>
        <w:t>s</w:t>
      </w:r>
      <w:r w:rsidR="00615D00" w:rsidRPr="00D56AF5">
        <w:rPr>
          <w:rFonts w:ascii="Garamond" w:hAnsi="Garamond"/>
          <w:sz w:val="24"/>
          <w:szCs w:val="24"/>
          <w:lang w:val="en-US"/>
        </w:rPr>
        <w:t xml:space="preserve"> when the</w:t>
      </w:r>
      <w:r w:rsidR="00B666A1">
        <w:rPr>
          <w:rFonts w:ascii="Garamond" w:hAnsi="Garamond"/>
          <w:sz w:val="24"/>
          <w:szCs w:val="24"/>
          <w:lang w:val="en-US"/>
        </w:rPr>
        <w:t>ir</w:t>
      </w:r>
      <w:r w:rsidR="00615D00" w:rsidRPr="00D56AF5">
        <w:rPr>
          <w:rFonts w:ascii="Garamond" w:hAnsi="Garamond"/>
          <w:sz w:val="24"/>
          <w:szCs w:val="24"/>
          <w:lang w:val="en-US"/>
        </w:rPr>
        <w:t xml:space="preserve"> interests no longer dictate faithfulness to them?</w:t>
      </w:r>
      <w:r w:rsidR="00334007" w:rsidRPr="00D56AF5">
        <w:rPr>
          <w:rFonts w:ascii="Garamond" w:hAnsi="Garamond"/>
          <w:sz w:val="24"/>
          <w:szCs w:val="24"/>
          <w:lang w:val="en-US"/>
        </w:rPr>
        <w:t xml:space="preserve"> </w:t>
      </w:r>
      <w:r w:rsidR="00C110F2" w:rsidRPr="00D56AF5">
        <w:rPr>
          <w:rFonts w:ascii="Garamond" w:hAnsi="Garamond"/>
          <w:sz w:val="24"/>
          <w:szCs w:val="24"/>
          <w:lang w:val="en-US"/>
        </w:rPr>
        <w:t>Are all legal agreements subject to the state’s absolute will to the contrary</w:t>
      </w:r>
      <w:r w:rsidR="00C110F2">
        <w:rPr>
          <w:rFonts w:ascii="Garamond" w:hAnsi="Garamond"/>
          <w:sz w:val="24"/>
          <w:szCs w:val="24"/>
          <w:lang w:val="en-US"/>
        </w:rPr>
        <w:t>,</w:t>
      </w:r>
      <w:r w:rsidR="00C110F2" w:rsidRPr="00D56AF5">
        <w:rPr>
          <w:rFonts w:ascii="Garamond" w:hAnsi="Garamond"/>
          <w:sz w:val="24"/>
          <w:szCs w:val="24"/>
          <w:lang w:val="en-US"/>
        </w:rPr>
        <w:t xml:space="preserve"> </w:t>
      </w:r>
      <w:r w:rsidR="00C110F2">
        <w:rPr>
          <w:rFonts w:ascii="Garamond" w:hAnsi="Garamond"/>
          <w:sz w:val="24"/>
          <w:szCs w:val="24"/>
          <w:lang w:val="en-US"/>
        </w:rPr>
        <w:t xml:space="preserve">or </w:t>
      </w:r>
      <w:r w:rsidR="00C110F2" w:rsidRPr="00D56AF5">
        <w:rPr>
          <w:rFonts w:ascii="Garamond" w:hAnsi="Garamond"/>
          <w:sz w:val="24"/>
          <w:szCs w:val="24"/>
          <w:lang w:val="en-US"/>
        </w:rPr>
        <w:t>does state consent bind the state absolutely? Does sovereignty as absolute political authority entail the power to completely alienate that authority through treat</w:t>
      </w:r>
      <w:r w:rsidR="00C110F2">
        <w:rPr>
          <w:rFonts w:ascii="Garamond" w:hAnsi="Garamond"/>
          <w:sz w:val="24"/>
          <w:szCs w:val="24"/>
          <w:lang w:val="en-US"/>
        </w:rPr>
        <w:t>y</w:t>
      </w:r>
      <w:r w:rsidR="00C110F2" w:rsidRPr="00D56AF5">
        <w:rPr>
          <w:rFonts w:ascii="Garamond" w:hAnsi="Garamond"/>
          <w:sz w:val="24"/>
          <w:szCs w:val="24"/>
          <w:lang w:val="en-US"/>
        </w:rPr>
        <w:t>?</w:t>
      </w:r>
    </w:p>
    <w:p w14:paraId="54660402" w14:textId="0C82975D" w:rsidR="001B3395" w:rsidRPr="00D56AF5" w:rsidRDefault="00817DE9" w:rsidP="001340AF">
      <w:pPr>
        <w:spacing w:after="120" w:line="480" w:lineRule="auto"/>
        <w:jc w:val="both"/>
        <w:rPr>
          <w:rFonts w:ascii="Garamond" w:hAnsi="Garamond"/>
          <w:sz w:val="24"/>
          <w:szCs w:val="24"/>
          <w:lang w:val="en-US"/>
        </w:rPr>
      </w:pPr>
      <w:r w:rsidRPr="00D56AF5">
        <w:rPr>
          <w:rFonts w:ascii="Garamond" w:hAnsi="Garamond"/>
          <w:sz w:val="24"/>
          <w:szCs w:val="24"/>
          <w:lang w:val="en-US"/>
        </w:rPr>
        <w:t>The paradox of sovereignty</w:t>
      </w:r>
      <w:r w:rsidR="00B666A1">
        <w:rPr>
          <w:rFonts w:ascii="Garamond" w:hAnsi="Garamond"/>
          <w:sz w:val="24"/>
          <w:szCs w:val="24"/>
          <w:lang w:val="en-US"/>
        </w:rPr>
        <w:t xml:space="preserve"> </w:t>
      </w:r>
      <w:r w:rsidR="00E71BAE" w:rsidRPr="00D56AF5">
        <w:rPr>
          <w:rFonts w:ascii="Garamond" w:hAnsi="Garamond"/>
          <w:sz w:val="24"/>
          <w:szCs w:val="24"/>
          <w:lang w:val="en-US"/>
        </w:rPr>
        <w:t xml:space="preserve">is internal </w:t>
      </w:r>
      <w:r w:rsidRPr="00D56AF5">
        <w:rPr>
          <w:rFonts w:ascii="Garamond" w:hAnsi="Garamond"/>
          <w:sz w:val="24"/>
          <w:szCs w:val="24"/>
          <w:lang w:val="en-US"/>
        </w:rPr>
        <w:t xml:space="preserve">to </w:t>
      </w:r>
      <w:r w:rsidR="004A6BFB" w:rsidRPr="00D56AF5">
        <w:rPr>
          <w:rFonts w:ascii="Garamond" w:hAnsi="Garamond"/>
          <w:sz w:val="24"/>
          <w:szCs w:val="24"/>
          <w:lang w:val="en-US"/>
        </w:rPr>
        <w:t xml:space="preserve">the </w:t>
      </w:r>
      <w:r w:rsidR="00964918" w:rsidRPr="00D56AF5">
        <w:rPr>
          <w:rFonts w:ascii="Garamond" w:hAnsi="Garamond"/>
          <w:sz w:val="24"/>
          <w:szCs w:val="24"/>
          <w:lang w:val="en-US"/>
        </w:rPr>
        <w:t>concept</w:t>
      </w:r>
      <w:r w:rsidR="007913FA" w:rsidRPr="00D56AF5">
        <w:rPr>
          <w:rFonts w:ascii="Garamond" w:hAnsi="Garamond"/>
          <w:sz w:val="24"/>
          <w:szCs w:val="24"/>
          <w:lang w:val="en-US"/>
        </w:rPr>
        <w:t xml:space="preserve"> </w:t>
      </w:r>
      <w:r w:rsidR="00BC60D0" w:rsidRPr="00D56AF5">
        <w:rPr>
          <w:rFonts w:ascii="Garamond" w:hAnsi="Garamond"/>
          <w:sz w:val="24"/>
          <w:szCs w:val="24"/>
          <w:lang w:val="en-US"/>
        </w:rPr>
        <w:t xml:space="preserve">and pertains to </w:t>
      </w:r>
      <w:r w:rsidR="00F006AD">
        <w:rPr>
          <w:rFonts w:ascii="Garamond" w:hAnsi="Garamond"/>
          <w:sz w:val="24"/>
          <w:szCs w:val="24"/>
          <w:lang w:val="en-US"/>
        </w:rPr>
        <w:t xml:space="preserve">its </w:t>
      </w:r>
      <w:r w:rsidR="00BC60D0" w:rsidRPr="00D56AF5">
        <w:rPr>
          <w:rFonts w:ascii="Garamond" w:hAnsi="Garamond"/>
          <w:sz w:val="24"/>
          <w:szCs w:val="24"/>
          <w:lang w:val="en-US"/>
        </w:rPr>
        <w:t>nature</w:t>
      </w:r>
      <w:r w:rsidRPr="00D56AF5">
        <w:rPr>
          <w:rFonts w:ascii="Garamond" w:hAnsi="Garamond"/>
          <w:sz w:val="24"/>
          <w:szCs w:val="24"/>
          <w:lang w:val="en-US"/>
        </w:rPr>
        <w:t>. Therefore, a resolution to the paradox demands that we engage with the meaning and content</w:t>
      </w:r>
      <w:r w:rsidR="00B666A1">
        <w:rPr>
          <w:rFonts w:ascii="Garamond" w:hAnsi="Garamond"/>
          <w:sz w:val="24"/>
          <w:szCs w:val="24"/>
          <w:lang w:val="en-US"/>
        </w:rPr>
        <w:t xml:space="preserve"> of sovereignty</w:t>
      </w:r>
      <w:r w:rsidRPr="00D56AF5">
        <w:rPr>
          <w:rFonts w:ascii="Garamond" w:hAnsi="Garamond"/>
          <w:sz w:val="24"/>
          <w:szCs w:val="24"/>
          <w:lang w:val="en-US"/>
        </w:rPr>
        <w:t xml:space="preserve">, its legal and political dimensions, and the </w:t>
      </w:r>
      <w:proofErr w:type="gramStart"/>
      <w:r w:rsidRPr="00D56AF5">
        <w:rPr>
          <w:rFonts w:ascii="Garamond" w:hAnsi="Garamond"/>
          <w:sz w:val="24"/>
          <w:szCs w:val="24"/>
          <w:lang w:val="en-US"/>
        </w:rPr>
        <w:t>manner in which</w:t>
      </w:r>
      <w:proofErr w:type="gramEnd"/>
      <w:r w:rsidRPr="00D56AF5">
        <w:rPr>
          <w:rFonts w:ascii="Garamond" w:hAnsi="Garamond"/>
          <w:sz w:val="24"/>
          <w:szCs w:val="24"/>
          <w:lang w:val="en-US"/>
        </w:rPr>
        <w:t xml:space="preserve"> it relates power to authority. </w:t>
      </w:r>
    </w:p>
    <w:p w14:paraId="2D2E1297" w14:textId="096E1F52" w:rsidR="00817DE9" w:rsidRDefault="00817DE9" w:rsidP="001340AF">
      <w:pPr>
        <w:spacing w:after="120" w:line="480" w:lineRule="auto"/>
        <w:jc w:val="both"/>
        <w:rPr>
          <w:rFonts w:ascii="Garamond" w:hAnsi="Garamond"/>
          <w:sz w:val="24"/>
          <w:szCs w:val="24"/>
          <w:lang w:val="en-US"/>
        </w:rPr>
      </w:pPr>
      <w:r w:rsidRPr="00D56AF5">
        <w:rPr>
          <w:rFonts w:ascii="Garamond" w:hAnsi="Garamond"/>
          <w:sz w:val="24"/>
          <w:szCs w:val="24"/>
          <w:lang w:val="en-US"/>
        </w:rPr>
        <w:t>In this section, I will attempt to identify international law’s resolution to the paradox of sovereignty</w:t>
      </w:r>
      <w:r w:rsidR="00F006AD">
        <w:rPr>
          <w:rFonts w:ascii="Garamond" w:hAnsi="Garamond"/>
          <w:sz w:val="24"/>
          <w:szCs w:val="24"/>
          <w:lang w:val="en-US"/>
        </w:rPr>
        <w:t>, and the upshots of that solution</w:t>
      </w:r>
      <w:r w:rsidR="005D5238">
        <w:rPr>
          <w:rFonts w:ascii="Garamond" w:hAnsi="Garamond"/>
          <w:sz w:val="24"/>
          <w:szCs w:val="24"/>
          <w:lang w:val="en-US"/>
        </w:rPr>
        <w:t>. I begin by</w:t>
      </w:r>
      <w:r w:rsidRPr="00D56AF5">
        <w:rPr>
          <w:rFonts w:ascii="Garamond" w:hAnsi="Garamond"/>
          <w:sz w:val="24"/>
          <w:szCs w:val="24"/>
          <w:lang w:val="en-US"/>
        </w:rPr>
        <w:t xml:space="preserve"> distilling the legal concept of sovereignty through a limited inferential analysis of international law sources.</w:t>
      </w:r>
      <w:r w:rsidRPr="00D56AF5">
        <w:rPr>
          <w:rStyle w:val="FootnoteReference"/>
          <w:rFonts w:ascii="Garamond" w:hAnsi="Garamond"/>
          <w:sz w:val="24"/>
          <w:szCs w:val="24"/>
          <w:lang w:val="en-US"/>
        </w:rPr>
        <w:footnoteReference w:id="20"/>
      </w:r>
      <w:r w:rsidRPr="00D56AF5">
        <w:rPr>
          <w:rFonts w:ascii="Garamond" w:hAnsi="Garamond"/>
          <w:sz w:val="24"/>
          <w:szCs w:val="24"/>
          <w:lang w:val="en-US"/>
        </w:rPr>
        <w:t xml:space="preserve"> I then seek to identify </w:t>
      </w:r>
      <w:r w:rsidR="00BE481A" w:rsidRPr="00D56AF5">
        <w:rPr>
          <w:rFonts w:ascii="Garamond" w:hAnsi="Garamond"/>
          <w:sz w:val="24"/>
          <w:szCs w:val="24"/>
          <w:lang w:val="en-US"/>
        </w:rPr>
        <w:t>an</w:t>
      </w:r>
      <w:r w:rsidRPr="00D56AF5">
        <w:rPr>
          <w:rFonts w:ascii="Garamond" w:hAnsi="Garamond"/>
          <w:sz w:val="24"/>
          <w:szCs w:val="24"/>
          <w:lang w:val="en-US"/>
        </w:rPr>
        <w:t xml:space="preserve"> explanation for how international law’s authority can be reconciled with external sovereignty – one </w:t>
      </w:r>
      <w:r w:rsidRPr="00D56AF5">
        <w:rPr>
          <w:rFonts w:ascii="Garamond" w:hAnsi="Garamond"/>
          <w:sz w:val="24"/>
          <w:szCs w:val="24"/>
          <w:lang w:val="en-US"/>
        </w:rPr>
        <w:lastRenderedPageBreak/>
        <w:t>that accounts for not just why states can enter into treaties, but wh</w:t>
      </w:r>
      <w:r w:rsidR="00B666A1">
        <w:rPr>
          <w:rFonts w:ascii="Garamond" w:hAnsi="Garamond"/>
          <w:sz w:val="24"/>
          <w:szCs w:val="24"/>
          <w:lang w:val="en-US"/>
        </w:rPr>
        <w:t>en and why</w:t>
      </w:r>
      <w:r w:rsidRPr="00D56AF5">
        <w:rPr>
          <w:rFonts w:ascii="Garamond" w:hAnsi="Garamond"/>
          <w:sz w:val="24"/>
          <w:szCs w:val="24"/>
          <w:lang w:val="en-US"/>
        </w:rPr>
        <w:t xml:space="preserve"> the resulting international legal obligations can authoritatively bind states without denuding their sovereignty.</w:t>
      </w:r>
    </w:p>
    <w:p w14:paraId="1CF37E65" w14:textId="77777777" w:rsidR="006528C1" w:rsidRPr="00D56AF5" w:rsidRDefault="006528C1" w:rsidP="001340AF">
      <w:pPr>
        <w:spacing w:after="120" w:line="480" w:lineRule="auto"/>
        <w:jc w:val="both"/>
        <w:rPr>
          <w:rFonts w:ascii="Garamond" w:hAnsi="Garamond"/>
          <w:sz w:val="24"/>
          <w:szCs w:val="24"/>
          <w:lang w:val="en-US"/>
        </w:rPr>
      </w:pPr>
    </w:p>
    <w:p w14:paraId="6E4DCB40" w14:textId="3319B078" w:rsidR="00DB5003" w:rsidRPr="00D56AF5" w:rsidRDefault="00FF6AE4" w:rsidP="001340AF">
      <w:pPr>
        <w:pStyle w:val="Heading2"/>
        <w:numPr>
          <w:ilvl w:val="1"/>
          <w:numId w:val="35"/>
        </w:numPr>
        <w:spacing w:line="480" w:lineRule="auto"/>
        <w:rPr>
          <w:b w:val="0"/>
          <w:szCs w:val="24"/>
          <w:lang w:val="en-US"/>
        </w:rPr>
      </w:pPr>
      <w:bookmarkStart w:id="4" w:name="_Toc169217163"/>
      <w:bookmarkStart w:id="5" w:name="_Toc191740723"/>
      <w:r w:rsidRPr="00D56AF5">
        <w:rPr>
          <w:szCs w:val="24"/>
          <w:lang w:val="en-US"/>
        </w:rPr>
        <w:t>The</w:t>
      </w:r>
      <w:r w:rsidR="00C40389" w:rsidRPr="00D56AF5">
        <w:rPr>
          <w:szCs w:val="24"/>
          <w:lang w:val="en-US"/>
        </w:rPr>
        <w:t xml:space="preserve"> legal</w:t>
      </w:r>
      <w:r w:rsidRPr="00D56AF5">
        <w:rPr>
          <w:szCs w:val="24"/>
          <w:lang w:val="en-US"/>
        </w:rPr>
        <w:t xml:space="preserve"> concept of sovereignty</w:t>
      </w:r>
      <w:bookmarkEnd w:id="4"/>
      <w:bookmarkEnd w:id="5"/>
      <w:r w:rsidRPr="00D56AF5">
        <w:rPr>
          <w:szCs w:val="24"/>
          <w:lang w:val="en-US"/>
        </w:rPr>
        <w:t xml:space="preserve"> </w:t>
      </w:r>
      <w:r w:rsidR="00F7794A" w:rsidRPr="00D56AF5">
        <w:rPr>
          <w:szCs w:val="24"/>
          <w:lang w:val="en-US"/>
        </w:rPr>
        <w:t xml:space="preserve"> </w:t>
      </w:r>
    </w:p>
    <w:p w14:paraId="1C5B1252" w14:textId="34C71026" w:rsidR="00F460B3" w:rsidRDefault="00CC076F"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Concerns echoing the tension between sovereignty as absolute independence, and sovereignty as the ability to </w:t>
      </w:r>
      <w:proofErr w:type="gramStart"/>
      <w:r w:rsidRPr="00D56AF5">
        <w:rPr>
          <w:rFonts w:ascii="Garamond" w:hAnsi="Garamond"/>
          <w:sz w:val="24"/>
          <w:szCs w:val="24"/>
          <w:lang w:val="en-US"/>
        </w:rPr>
        <w:t>enter into</w:t>
      </w:r>
      <w:proofErr w:type="gramEnd"/>
      <w:r w:rsidRPr="00D56AF5">
        <w:rPr>
          <w:rFonts w:ascii="Garamond" w:hAnsi="Garamond"/>
          <w:sz w:val="24"/>
          <w:szCs w:val="24"/>
          <w:lang w:val="en-US"/>
        </w:rPr>
        <w:t xml:space="preserve"> and be bound by treaties, </w:t>
      </w:r>
      <w:r w:rsidR="00F460B3">
        <w:rPr>
          <w:rFonts w:ascii="Garamond" w:hAnsi="Garamond"/>
          <w:sz w:val="24"/>
          <w:szCs w:val="24"/>
          <w:lang w:val="en-US"/>
        </w:rPr>
        <w:t>cropped up before the PCIJ in the early 20</w:t>
      </w:r>
      <w:r w:rsidR="00F460B3" w:rsidRPr="00F460B3">
        <w:rPr>
          <w:rFonts w:ascii="Garamond" w:hAnsi="Garamond"/>
          <w:sz w:val="24"/>
          <w:szCs w:val="24"/>
          <w:vertAlign w:val="superscript"/>
          <w:lang w:val="en-US"/>
        </w:rPr>
        <w:t>th</w:t>
      </w:r>
      <w:r w:rsidR="00F460B3">
        <w:rPr>
          <w:rFonts w:ascii="Garamond" w:hAnsi="Garamond"/>
          <w:sz w:val="24"/>
          <w:szCs w:val="24"/>
          <w:lang w:val="en-US"/>
        </w:rPr>
        <w:t xml:space="preserve"> century.  </w:t>
      </w:r>
      <w:r w:rsidR="00F460B3" w:rsidRPr="00D56AF5">
        <w:rPr>
          <w:rFonts w:ascii="Garamond" w:hAnsi="Garamond"/>
          <w:sz w:val="24"/>
          <w:szCs w:val="24"/>
          <w:lang w:val="en-US"/>
        </w:rPr>
        <w:t xml:space="preserve">In the classically cited Wimbledon </w:t>
      </w:r>
      <w:r w:rsidR="00F460B3">
        <w:rPr>
          <w:rFonts w:ascii="Garamond" w:hAnsi="Garamond"/>
          <w:sz w:val="24"/>
          <w:szCs w:val="24"/>
          <w:lang w:val="en-US"/>
        </w:rPr>
        <w:t>judgment</w:t>
      </w:r>
      <w:r w:rsidR="00F460B3" w:rsidRPr="00D56AF5">
        <w:rPr>
          <w:rFonts w:ascii="Garamond" w:hAnsi="Garamond"/>
          <w:sz w:val="24"/>
          <w:szCs w:val="24"/>
          <w:lang w:val="en-US"/>
        </w:rPr>
        <w:t xml:space="preserve"> (1923), the PCIJ explained that </w:t>
      </w:r>
      <w:r w:rsidR="00F460B3">
        <w:rPr>
          <w:rFonts w:ascii="Garamond" w:hAnsi="Garamond"/>
          <w:sz w:val="24"/>
          <w:szCs w:val="24"/>
          <w:lang w:val="en-US"/>
        </w:rPr>
        <w:t xml:space="preserve">restrictive </w:t>
      </w:r>
      <w:r w:rsidR="00F460B3" w:rsidRPr="00D56AF5">
        <w:rPr>
          <w:rFonts w:ascii="Garamond" w:hAnsi="Garamond"/>
          <w:sz w:val="24"/>
          <w:szCs w:val="24"/>
          <w:lang w:val="en-US"/>
        </w:rPr>
        <w:t xml:space="preserve">treaty commitments could be </w:t>
      </w:r>
      <w:r w:rsidR="008A6128">
        <w:rPr>
          <w:rFonts w:ascii="Garamond" w:hAnsi="Garamond"/>
          <w:sz w:val="24"/>
          <w:szCs w:val="24"/>
          <w:lang w:val="en-US"/>
        </w:rPr>
        <w:t>reconciled</w:t>
      </w:r>
      <w:r w:rsidR="00F460B3" w:rsidRPr="00D56AF5">
        <w:rPr>
          <w:rFonts w:ascii="Garamond" w:hAnsi="Garamond"/>
          <w:sz w:val="24"/>
          <w:szCs w:val="24"/>
          <w:lang w:val="en-US"/>
        </w:rPr>
        <w:t xml:space="preserve"> with the concept of sovereignty, by separating the possession of sovereignty from its constituent characteristics, and grounding restrictions on sovereign rights in state consent</w:t>
      </w:r>
      <w:r w:rsidR="00F460B3">
        <w:rPr>
          <w:rFonts w:ascii="Garamond" w:hAnsi="Garamond"/>
          <w:sz w:val="24"/>
          <w:szCs w:val="24"/>
          <w:lang w:val="en-US"/>
        </w:rPr>
        <w:t xml:space="preserve">. </w:t>
      </w:r>
      <w:r w:rsidR="00EF66D3">
        <w:rPr>
          <w:rFonts w:ascii="Garamond" w:hAnsi="Garamond"/>
          <w:sz w:val="24"/>
          <w:szCs w:val="24"/>
          <w:lang w:val="en-US"/>
        </w:rPr>
        <w:t>As a sequitur,</w:t>
      </w:r>
      <w:r w:rsidR="00F460B3">
        <w:rPr>
          <w:rFonts w:ascii="Garamond" w:hAnsi="Garamond"/>
          <w:sz w:val="24"/>
          <w:szCs w:val="24"/>
          <w:lang w:val="en-US"/>
        </w:rPr>
        <w:t xml:space="preserve"> </w:t>
      </w:r>
      <w:r w:rsidR="00EF66D3">
        <w:rPr>
          <w:rFonts w:ascii="Garamond" w:hAnsi="Garamond"/>
          <w:sz w:val="24"/>
          <w:szCs w:val="24"/>
          <w:lang w:val="en-US"/>
        </w:rPr>
        <w:t xml:space="preserve">the </w:t>
      </w:r>
      <w:r w:rsidR="00F460B3">
        <w:rPr>
          <w:rFonts w:ascii="Garamond" w:hAnsi="Garamond"/>
          <w:sz w:val="24"/>
          <w:szCs w:val="24"/>
          <w:lang w:val="en-US"/>
        </w:rPr>
        <w:t xml:space="preserve">right of </w:t>
      </w:r>
      <w:proofErr w:type="gramStart"/>
      <w:r w:rsidR="00F460B3">
        <w:rPr>
          <w:rFonts w:ascii="Garamond" w:hAnsi="Garamond"/>
          <w:sz w:val="24"/>
          <w:szCs w:val="24"/>
          <w:lang w:val="en-US"/>
        </w:rPr>
        <w:t>entering into</w:t>
      </w:r>
      <w:proofErr w:type="gramEnd"/>
      <w:r w:rsidR="00F460B3">
        <w:rPr>
          <w:rFonts w:ascii="Garamond" w:hAnsi="Garamond"/>
          <w:sz w:val="24"/>
          <w:szCs w:val="24"/>
          <w:lang w:val="en-US"/>
        </w:rPr>
        <w:t xml:space="preserve"> treaties was</w:t>
      </w:r>
      <w:r w:rsidR="00EF66D3">
        <w:rPr>
          <w:rFonts w:ascii="Garamond" w:hAnsi="Garamond"/>
          <w:sz w:val="24"/>
          <w:szCs w:val="24"/>
          <w:lang w:val="en-US"/>
        </w:rPr>
        <w:t xml:space="preserve"> </w:t>
      </w:r>
      <w:r w:rsidR="008A6128">
        <w:rPr>
          <w:rFonts w:ascii="Garamond" w:hAnsi="Garamond"/>
          <w:sz w:val="24"/>
          <w:szCs w:val="24"/>
          <w:lang w:val="en-US"/>
        </w:rPr>
        <w:t>considered</w:t>
      </w:r>
      <w:r w:rsidR="00F460B3">
        <w:rPr>
          <w:rFonts w:ascii="Garamond" w:hAnsi="Garamond"/>
          <w:sz w:val="24"/>
          <w:szCs w:val="24"/>
          <w:lang w:val="en-US"/>
        </w:rPr>
        <w:t xml:space="preserve"> an “attribute of sovereignty”.</w:t>
      </w:r>
      <w:r w:rsidR="00F460B3" w:rsidRPr="00D56AF5">
        <w:rPr>
          <w:rStyle w:val="FootnoteReference"/>
          <w:rFonts w:ascii="Garamond" w:hAnsi="Garamond"/>
          <w:sz w:val="24"/>
          <w:szCs w:val="24"/>
          <w:lang w:val="en-US"/>
        </w:rPr>
        <w:footnoteReference w:id="21"/>
      </w:r>
      <w:r w:rsidR="00F460B3" w:rsidRPr="00D56AF5">
        <w:rPr>
          <w:rFonts w:ascii="Garamond" w:hAnsi="Garamond"/>
          <w:sz w:val="24"/>
          <w:szCs w:val="24"/>
          <w:lang w:val="en-US"/>
        </w:rPr>
        <w:t xml:space="preserve"> </w:t>
      </w:r>
    </w:p>
    <w:p w14:paraId="70383DD7" w14:textId="7A4165C2" w:rsidR="0004641D" w:rsidRDefault="003D2621" w:rsidP="00CD6381">
      <w:pPr>
        <w:spacing w:after="120" w:line="480" w:lineRule="auto"/>
        <w:jc w:val="both"/>
        <w:rPr>
          <w:rFonts w:ascii="Garamond" w:hAnsi="Garamond"/>
          <w:sz w:val="24"/>
          <w:szCs w:val="24"/>
          <w:lang w:val="en-US"/>
        </w:rPr>
      </w:pPr>
      <w:r>
        <w:rPr>
          <w:rFonts w:ascii="Garamond" w:hAnsi="Garamond"/>
          <w:sz w:val="24"/>
          <w:szCs w:val="24"/>
          <w:lang w:val="en-US"/>
        </w:rPr>
        <w:t xml:space="preserve">In </w:t>
      </w:r>
      <w:r w:rsidR="008A6128">
        <w:rPr>
          <w:rFonts w:ascii="Garamond" w:hAnsi="Garamond"/>
          <w:sz w:val="24"/>
          <w:szCs w:val="24"/>
          <w:lang w:val="en-US"/>
        </w:rPr>
        <w:t xml:space="preserve">further decisions, </w:t>
      </w:r>
      <w:r>
        <w:rPr>
          <w:rFonts w:ascii="Garamond" w:hAnsi="Garamond"/>
          <w:sz w:val="24"/>
          <w:szCs w:val="24"/>
          <w:lang w:val="en-US"/>
        </w:rPr>
        <w:t xml:space="preserve">the </w:t>
      </w:r>
      <w:r w:rsidR="0004641D">
        <w:rPr>
          <w:rFonts w:ascii="Garamond" w:hAnsi="Garamond"/>
          <w:sz w:val="24"/>
          <w:szCs w:val="24"/>
          <w:lang w:val="en-US"/>
        </w:rPr>
        <w:t xml:space="preserve">PCIJ </w:t>
      </w:r>
      <w:r>
        <w:rPr>
          <w:rFonts w:ascii="Garamond" w:hAnsi="Garamond"/>
          <w:sz w:val="24"/>
          <w:szCs w:val="24"/>
          <w:lang w:val="en-US"/>
        </w:rPr>
        <w:t xml:space="preserve">appeared to </w:t>
      </w:r>
      <w:r w:rsidR="0004641D">
        <w:rPr>
          <w:rFonts w:ascii="Garamond" w:hAnsi="Garamond"/>
          <w:sz w:val="24"/>
          <w:szCs w:val="24"/>
          <w:lang w:val="en-US"/>
        </w:rPr>
        <w:t xml:space="preserve">view states as existing </w:t>
      </w:r>
      <w:r w:rsidR="0004641D" w:rsidRPr="003D2621">
        <w:rPr>
          <w:rFonts w:ascii="Garamond" w:hAnsi="Garamond"/>
          <w:i/>
          <w:iCs/>
          <w:sz w:val="24"/>
          <w:szCs w:val="24"/>
          <w:lang w:val="en-US"/>
        </w:rPr>
        <w:t>ipso facto</w:t>
      </w:r>
      <w:r w:rsidR="0004641D">
        <w:rPr>
          <w:rFonts w:ascii="Garamond" w:hAnsi="Garamond"/>
          <w:sz w:val="24"/>
          <w:szCs w:val="24"/>
          <w:lang w:val="en-US"/>
        </w:rPr>
        <w:t xml:space="preserve"> in a state of freedom, with their legal obligations constituting restrictions on such </w:t>
      </w:r>
      <w:r w:rsidR="0004641D" w:rsidRPr="00D56AF5">
        <w:rPr>
          <w:rFonts w:ascii="Garamond" w:hAnsi="Garamond"/>
          <w:sz w:val="24"/>
          <w:szCs w:val="24"/>
          <w:lang w:val="en-US"/>
        </w:rPr>
        <w:t>freedom.</w:t>
      </w:r>
      <w:r w:rsidR="0004641D" w:rsidRPr="00D56AF5">
        <w:rPr>
          <w:rStyle w:val="FootnoteReference"/>
          <w:rFonts w:ascii="Garamond" w:hAnsi="Garamond"/>
          <w:sz w:val="24"/>
          <w:szCs w:val="24"/>
          <w:lang w:val="en-US"/>
        </w:rPr>
        <w:footnoteReference w:id="22"/>
      </w:r>
      <w:r w:rsidR="0004641D">
        <w:rPr>
          <w:rFonts w:ascii="Garamond" w:hAnsi="Garamond"/>
          <w:sz w:val="24"/>
          <w:szCs w:val="24"/>
          <w:lang w:val="en-US"/>
        </w:rPr>
        <w:t xml:space="preserve"> </w:t>
      </w:r>
      <w:r w:rsidR="008A6128">
        <w:rPr>
          <w:rFonts w:ascii="Garamond" w:hAnsi="Garamond"/>
          <w:sz w:val="24"/>
          <w:szCs w:val="24"/>
          <w:lang w:val="en-US"/>
        </w:rPr>
        <w:t>Thus,</w:t>
      </w:r>
      <w:r w:rsidR="0004641D">
        <w:rPr>
          <w:rFonts w:ascii="Garamond" w:hAnsi="Garamond"/>
          <w:sz w:val="24"/>
          <w:szCs w:val="24"/>
          <w:lang w:val="en-US"/>
        </w:rPr>
        <w:t xml:space="preserve"> the infamous Lotus principle</w:t>
      </w:r>
      <w:r w:rsidR="00EF66D3">
        <w:rPr>
          <w:rFonts w:ascii="Garamond" w:hAnsi="Garamond"/>
          <w:sz w:val="24"/>
          <w:szCs w:val="24"/>
          <w:lang w:val="en-US"/>
        </w:rPr>
        <w:t xml:space="preserve"> </w:t>
      </w:r>
      <w:r>
        <w:rPr>
          <w:rFonts w:ascii="Garamond" w:hAnsi="Garamond"/>
          <w:sz w:val="24"/>
          <w:szCs w:val="24"/>
          <w:lang w:val="en-US"/>
        </w:rPr>
        <w:t>(</w:t>
      </w:r>
      <w:r w:rsidR="0004641D">
        <w:rPr>
          <w:rFonts w:ascii="Garamond" w:hAnsi="Garamond"/>
          <w:sz w:val="24"/>
          <w:szCs w:val="24"/>
          <w:lang w:val="en-US"/>
        </w:rPr>
        <w:t xml:space="preserve">derived from a 1927 </w:t>
      </w:r>
      <w:r w:rsidR="00EF66D3">
        <w:rPr>
          <w:rFonts w:ascii="Garamond" w:hAnsi="Garamond"/>
          <w:sz w:val="24"/>
          <w:szCs w:val="24"/>
          <w:lang w:val="en-US"/>
        </w:rPr>
        <w:t>case</w:t>
      </w:r>
      <w:r>
        <w:rPr>
          <w:rFonts w:ascii="Garamond" w:hAnsi="Garamond"/>
          <w:sz w:val="24"/>
          <w:szCs w:val="24"/>
          <w:lang w:val="en-US"/>
        </w:rPr>
        <w:t>)</w:t>
      </w:r>
      <w:r w:rsidR="0004641D">
        <w:rPr>
          <w:rFonts w:ascii="Garamond" w:hAnsi="Garamond"/>
          <w:sz w:val="24"/>
          <w:szCs w:val="24"/>
          <w:lang w:val="en-US"/>
        </w:rPr>
        <w:t xml:space="preserve"> held that </w:t>
      </w:r>
      <w:r w:rsidR="00CC076F" w:rsidRPr="00D56AF5">
        <w:rPr>
          <w:rFonts w:ascii="Garamond" w:hAnsi="Garamond"/>
          <w:sz w:val="24"/>
          <w:szCs w:val="24"/>
          <w:lang w:val="en-US"/>
        </w:rPr>
        <w:t xml:space="preserve">states </w:t>
      </w:r>
      <w:r w:rsidR="008B6208" w:rsidRPr="00D56AF5">
        <w:rPr>
          <w:rFonts w:ascii="Garamond" w:hAnsi="Garamond"/>
          <w:sz w:val="24"/>
          <w:szCs w:val="24"/>
          <w:lang w:val="en-US"/>
        </w:rPr>
        <w:t xml:space="preserve">are free </w:t>
      </w:r>
      <w:r w:rsidR="00CC076F" w:rsidRPr="00D56AF5">
        <w:rPr>
          <w:rFonts w:ascii="Garamond" w:hAnsi="Garamond"/>
          <w:sz w:val="24"/>
          <w:szCs w:val="24"/>
          <w:lang w:val="en-US"/>
        </w:rPr>
        <w:t>to do whatever they want, in the absence of an international legal rule prohibiting it.</w:t>
      </w:r>
      <w:r w:rsidR="00CC076F" w:rsidRPr="00D56AF5">
        <w:rPr>
          <w:rStyle w:val="FootnoteReference"/>
          <w:rFonts w:ascii="Garamond" w:hAnsi="Garamond"/>
          <w:sz w:val="24"/>
          <w:szCs w:val="24"/>
          <w:lang w:val="en-US"/>
        </w:rPr>
        <w:footnoteReference w:id="23"/>
      </w:r>
      <w:r w:rsidR="00CC076F" w:rsidRPr="00D56AF5">
        <w:rPr>
          <w:rFonts w:ascii="Garamond" w:hAnsi="Garamond"/>
          <w:sz w:val="24"/>
          <w:szCs w:val="24"/>
          <w:lang w:val="en-US"/>
        </w:rPr>
        <w:t xml:space="preserve"> </w:t>
      </w:r>
      <w:r w:rsidR="00BE2FA3" w:rsidRPr="00D56AF5">
        <w:rPr>
          <w:rFonts w:ascii="Garamond" w:hAnsi="Garamond"/>
          <w:sz w:val="24"/>
          <w:szCs w:val="24"/>
          <w:lang w:val="en-US"/>
        </w:rPr>
        <w:t>Th</w:t>
      </w:r>
      <w:r w:rsidR="00505F24">
        <w:rPr>
          <w:rFonts w:ascii="Garamond" w:hAnsi="Garamond"/>
          <w:sz w:val="24"/>
          <w:szCs w:val="24"/>
          <w:lang w:val="en-US"/>
        </w:rPr>
        <w:t>e Lotus principle</w:t>
      </w:r>
      <w:r w:rsidR="00BE2FA3" w:rsidRPr="00D56AF5">
        <w:rPr>
          <w:rFonts w:ascii="Garamond" w:hAnsi="Garamond"/>
          <w:sz w:val="24"/>
          <w:szCs w:val="24"/>
          <w:lang w:val="en-US"/>
        </w:rPr>
        <w:t xml:space="preserve"> suggest</w:t>
      </w:r>
      <w:r>
        <w:rPr>
          <w:rFonts w:ascii="Garamond" w:hAnsi="Garamond"/>
          <w:sz w:val="24"/>
          <w:szCs w:val="24"/>
          <w:lang w:val="en-US"/>
        </w:rPr>
        <w:t>ed</w:t>
      </w:r>
      <w:r w:rsidR="00BE2FA3" w:rsidRPr="00D56AF5">
        <w:rPr>
          <w:rFonts w:ascii="Garamond" w:hAnsi="Garamond"/>
          <w:sz w:val="24"/>
          <w:szCs w:val="24"/>
          <w:lang w:val="en-US"/>
        </w:rPr>
        <w:t xml:space="preserve"> that </w:t>
      </w:r>
      <w:r w:rsidR="00343636" w:rsidRPr="00D56AF5">
        <w:rPr>
          <w:rFonts w:ascii="Garamond" w:hAnsi="Garamond"/>
          <w:sz w:val="24"/>
          <w:szCs w:val="24"/>
          <w:lang w:val="en-US"/>
        </w:rPr>
        <w:t>sovereignty</w:t>
      </w:r>
      <w:r w:rsidR="00EF66D3">
        <w:rPr>
          <w:rFonts w:ascii="Garamond" w:hAnsi="Garamond"/>
          <w:sz w:val="24"/>
          <w:szCs w:val="24"/>
          <w:lang w:val="en-US"/>
        </w:rPr>
        <w:t xml:space="preserve"> </w:t>
      </w:r>
      <w:r w:rsidR="00042DE7" w:rsidRPr="00D56AF5">
        <w:rPr>
          <w:rFonts w:ascii="Garamond" w:hAnsi="Garamond"/>
          <w:sz w:val="24"/>
          <w:szCs w:val="24"/>
          <w:lang w:val="en-US"/>
        </w:rPr>
        <w:t xml:space="preserve">as a legal construct entails </w:t>
      </w:r>
      <w:r w:rsidR="00343636" w:rsidRPr="00D56AF5">
        <w:rPr>
          <w:rFonts w:ascii="Garamond" w:hAnsi="Garamond"/>
          <w:sz w:val="24"/>
          <w:szCs w:val="24"/>
          <w:lang w:val="en-US"/>
        </w:rPr>
        <w:t>a residual permissive rule</w:t>
      </w:r>
      <w:r w:rsidR="00E2528F">
        <w:rPr>
          <w:rFonts w:ascii="Garamond" w:hAnsi="Garamond"/>
          <w:sz w:val="24"/>
          <w:szCs w:val="24"/>
          <w:lang w:val="en-US"/>
        </w:rPr>
        <w:t xml:space="preserve"> –</w:t>
      </w:r>
      <w:r w:rsidR="00C4185F">
        <w:rPr>
          <w:rFonts w:ascii="Garamond" w:hAnsi="Garamond"/>
          <w:sz w:val="24"/>
          <w:szCs w:val="24"/>
          <w:lang w:val="en-US"/>
        </w:rPr>
        <w:t xml:space="preserve"> </w:t>
      </w:r>
      <w:r w:rsidR="00CD6381">
        <w:rPr>
          <w:rFonts w:ascii="Garamond" w:hAnsi="Garamond"/>
          <w:sz w:val="24"/>
          <w:szCs w:val="24"/>
          <w:lang w:val="en-US"/>
        </w:rPr>
        <w:t>permitting all state actions absent contrary prohibitions</w:t>
      </w:r>
      <w:r w:rsidR="00343636" w:rsidRPr="00D56AF5">
        <w:rPr>
          <w:rFonts w:ascii="Garamond" w:hAnsi="Garamond"/>
          <w:sz w:val="24"/>
          <w:szCs w:val="24"/>
          <w:lang w:val="en-US"/>
        </w:rPr>
        <w:t xml:space="preserve">. </w:t>
      </w:r>
    </w:p>
    <w:p w14:paraId="1BC4E873" w14:textId="6857DA32" w:rsidR="00CC076F" w:rsidRPr="00D56AF5" w:rsidRDefault="00673ABC" w:rsidP="001340AF">
      <w:pPr>
        <w:spacing w:after="120" w:line="480" w:lineRule="auto"/>
        <w:jc w:val="both"/>
        <w:rPr>
          <w:rFonts w:ascii="Garamond" w:hAnsi="Garamond"/>
          <w:sz w:val="24"/>
          <w:szCs w:val="24"/>
          <w:lang w:val="en-US"/>
        </w:rPr>
      </w:pPr>
      <w:r w:rsidRPr="00D56AF5">
        <w:rPr>
          <w:rFonts w:ascii="Garamond" w:hAnsi="Garamond"/>
          <w:sz w:val="24"/>
          <w:szCs w:val="24"/>
          <w:lang w:val="en-US"/>
        </w:rPr>
        <w:t>However,</w:t>
      </w:r>
      <w:r w:rsidR="00283813" w:rsidRPr="00D56AF5">
        <w:rPr>
          <w:rFonts w:ascii="Garamond" w:hAnsi="Garamond"/>
          <w:sz w:val="24"/>
          <w:szCs w:val="24"/>
          <w:lang w:val="en-US"/>
        </w:rPr>
        <w:t xml:space="preserve"> more contemporary readings of the judgement </w:t>
      </w:r>
      <w:r w:rsidR="00F40998">
        <w:rPr>
          <w:rFonts w:ascii="Garamond" w:hAnsi="Garamond"/>
          <w:sz w:val="24"/>
          <w:szCs w:val="24"/>
          <w:lang w:val="en-US"/>
        </w:rPr>
        <w:t xml:space="preserve">repudiate the Lotus principle, </w:t>
      </w:r>
      <w:r w:rsidR="00D80921" w:rsidRPr="00D56AF5">
        <w:rPr>
          <w:rFonts w:ascii="Garamond" w:hAnsi="Garamond"/>
          <w:sz w:val="24"/>
          <w:szCs w:val="24"/>
          <w:lang w:val="en-US"/>
        </w:rPr>
        <w:t>argu</w:t>
      </w:r>
      <w:r w:rsidR="0004641D">
        <w:rPr>
          <w:rFonts w:ascii="Garamond" w:hAnsi="Garamond"/>
          <w:sz w:val="24"/>
          <w:szCs w:val="24"/>
          <w:lang w:val="en-US"/>
        </w:rPr>
        <w:t xml:space="preserve">ing </w:t>
      </w:r>
      <w:r w:rsidR="00D80921" w:rsidRPr="00D56AF5">
        <w:rPr>
          <w:rFonts w:ascii="Garamond" w:hAnsi="Garamond"/>
          <w:sz w:val="24"/>
          <w:szCs w:val="24"/>
          <w:lang w:val="en-US"/>
        </w:rPr>
        <w:t>that</w:t>
      </w:r>
      <w:r w:rsidR="00191893" w:rsidRPr="00D56AF5">
        <w:rPr>
          <w:rFonts w:ascii="Garamond" w:hAnsi="Garamond"/>
          <w:sz w:val="24"/>
          <w:szCs w:val="24"/>
          <w:lang w:val="en-US"/>
        </w:rPr>
        <w:t xml:space="preserve"> </w:t>
      </w:r>
      <w:r w:rsidR="008156F8">
        <w:rPr>
          <w:rFonts w:ascii="Garamond" w:hAnsi="Garamond"/>
          <w:sz w:val="24"/>
          <w:szCs w:val="24"/>
          <w:lang w:val="en-US"/>
        </w:rPr>
        <w:t>i</w:t>
      </w:r>
      <w:r w:rsidR="00323C59" w:rsidRPr="00D56AF5">
        <w:rPr>
          <w:rFonts w:ascii="Garamond" w:hAnsi="Garamond"/>
          <w:sz w:val="24"/>
          <w:szCs w:val="24"/>
          <w:lang w:val="en-US"/>
        </w:rPr>
        <w:t>nstead of recognizing a ‘presumption of unrestrained sovereignty’</w:t>
      </w:r>
      <w:r w:rsidR="00D61786">
        <w:rPr>
          <w:rFonts w:ascii="Garamond" w:hAnsi="Garamond"/>
          <w:sz w:val="24"/>
          <w:szCs w:val="24"/>
          <w:lang w:val="en-US"/>
        </w:rPr>
        <w:t>,</w:t>
      </w:r>
      <w:r w:rsidR="00323C59" w:rsidRPr="00D56AF5">
        <w:rPr>
          <w:rStyle w:val="FootnoteReference"/>
          <w:rFonts w:ascii="Garamond" w:hAnsi="Garamond"/>
          <w:sz w:val="24"/>
          <w:szCs w:val="24"/>
          <w:lang w:val="en-US"/>
        </w:rPr>
        <w:footnoteReference w:id="24"/>
      </w:r>
      <w:r w:rsidR="00323C59" w:rsidRPr="00D56AF5">
        <w:rPr>
          <w:rFonts w:ascii="Garamond" w:hAnsi="Garamond"/>
          <w:sz w:val="24"/>
          <w:szCs w:val="24"/>
          <w:lang w:val="en-US"/>
        </w:rPr>
        <w:t xml:space="preserve"> the PCIJ merely meant to reject a presumption of restrictions on freedom.</w:t>
      </w:r>
      <w:r w:rsidR="00323C59" w:rsidRPr="00D56AF5">
        <w:rPr>
          <w:rStyle w:val="FootnoteReference"/>
          <w:rFonts w:ascii="Garamond" w:hAnsi="Garamond"/>
          <w:sz w:val="24"/>
          <w:szCs w:val="24"/>
          <w:lang w:val="en-US"/>
        </w:rPr>
        <w:footnoteReference w:id="25"/>
      </w:r>
      <w:r w:rsidR="00DB3F30" w:rsidRPr="00D56AF5">
        <w:rPr>
          <w:rFonts w:ascii="Garamond" w:hAnsi="Garamond"/>
          <w:sz w:val="24"/>
          <w:szCs w:val="24"/>
          <w:lang w:val="en-US"/>
        </w:rPr>
        <w:t xml:space="preserve"> </w:t>
      </w:r>
      <w:r w:rsidR="00440D93" w:rsidRPr="00D56AF5">
        <w:rPr>
          <w:rFonts w:ascii="Garamond" w:hAnsi="Garamond"/>
          <w:sz w:val="24"/>
          <w:szCs w:val="24"/>
          <w:lang w:val="en-US"/>
        </w:rPr>
        <w:t xml:space="preserve">This concords with </w:t>
      </w:r>
      <w:r w:rsidR="00FF2BD3" w:rsidRPr="00D56AF5">
        <w:rPr>
          <w:rFonts w:ascii="Garamond" w:hAnsi="Garamond"/>
          <w:sz w:val="24"/>
          <w:szCs w:val="24"/>
          <w:lang w:val="en-US"/>
        </w:rPr>
        <w:t>other</w:t>
      </w:r>
      <w:r w:rsidR="009F17DF" w:rsidRPr="00D56AF5">
        <w:rPr>
          <w:rFonts w:ascii="Garamond" w:hAnsi="Garamond"/>
          <w:sz w:val="24"/>
          <w:szCs w:val="24"/>
          <w:lang w:val="en-US"/>
        </w:rPr>
        <w:t xml:space="preserve"> opinions within the </w:t>
      </w:r>
      <w:r w:rsidR="009F17DF" w:rsidRPr="00D56AF5">
        <w:rPr>
          <w:rFonts w:ascii="Garamond" w:hAnsi="Garamond"/>
          <w:sz w:val="24"/>
          <w:szCs w:val="24"/>
          <w:lang w:val="en-US"/>
        </w:rPr>
        <w:lastRenderedPageBreak/>
        <w:t>ICJ</w:t>
      </w:r>
      <w:r w:rsidR="00E5308B" w:rsidRPr="00D56AF5">
        <w:rPr>
          <w:rFonts w:ascii="Garamond" w:hAnsi="Garamond"/>
          <w:sz w:val="24"/>
          <w:szCs w:val="24"/>
          <w:lang w:val="en-US"/>
        </w:rPr>
        <w:t>,</w:t>
      </w:r>
      <w:r w:rsidR="009F17DF" w:rsidRPr="00D56AF5">
        <w:rPr>
          <w:rFonts w:ascii="Garamond" w:hAnsi="Garamond"/>
          <w:sz w:val="24"/>
          <w:szCs w:val="24"/>
          <w:lang w:val="en-US"/>
        </w:rPr>
        <w:t xml:space="preserve"> which </w:t>
      </w:r>
      <w:r w:rsidR="005B630B" w:rsidRPr="00D56AF5">
        <w:rPr>
          <w:rFonts w:ascii="Garamond" w:hAnsi="Garamond"/>
          <w:sz w:val="24"/>
          <w:szCs w:val="24"/>
          <w:lang w:val="en-US"/>
        </w:rPr>
        <w:t xml:space="preserve">insist </w:t>
      </w:r>
      <w:r w:rsidR="00F34A5C" w:rsidRPr="00D56AF5">
        <w:rPr>
          <w:rFonts w:ascii="Garamond" w:hAnsi="Garamond"/>
          <w:sz w:val="24"/>
          <w:szCs w:val="24"/>
          <w:lang w:val="en-US"/>
        </w:rPr>
        <w:t>that the PCIJ</w:t>
      </w:r>
      <w:r w:rsidR="00E5308B" w:rsidRPr="00D56AF5">
        <w:rPr>
          <w:rFonts w:ascii="Garamond" w:hAnsi="Garamond"/>
          <w:sz w:val="24"/>
          <w:szCs w:val="24"/>
          <w:lang w:val="en-US"/>
        </w:rPr>
        <w:t xml:space="preserve"> merely</w:t>
      </w:r>
      <w:r w:rsidR="00F34A5C" w:rsidRPr="00D56AF5">
        <w:rPr>
          <w:rFonts w:ascii="Garamond" w:hAnsi="Garamond"/>
          <w:sz w:val="24"/>
          <w:szCs w:val="24"/>
          <w:lang w:val="en-US"/>
        </w:rPr>
        <w:t xml:space="preserve"> intended to</w:t>
      </w:r>
      <w:r w:rsidR="00B927B1" w:rsidRPr="00D56AF5">
        <w:rPr>
          <w:rFonts w:ascii="Garamond" w:hAnsi="Garamond"/>
          <w:sz w:val="24"/>
          <w:szCs w:val="24"/>
          <w:lang w:val="en-US"/>
        </w:rPr>
        <w:t xml:space="preserve"> </w:t>
      </w:r>
      <w:r w:rsidR="00DE59D8" w:rsidRPr="00D56AF5">
        <w:rPr>
          <w:rFonts w:ascii="Garamond" w:hAnsi="Garamond"/>
          <w:sz w:val="24"/>
          <w:szCs w:val="24"/>
          <w:lang w:val="en-US"/>
        </w:rPr>
        <w:t xml:space="preserve">emphasize the </w:t>
      </w:r>
      <w:r w:rsidR="00B9714F" w:rsidRPr="00D56AF5">
        <w:rPr>
          <w:rFonts w:ascii="Garamond" w:hAnsi="Garamond"/>
          <w:sz w:val="24"/>
          <w:szCs w:val="24"/>
          <w:lang w:val="en-US"/>
        </w:rPr>
        <w:t xml:space="preserve">limits of sovereignty </w:t>
      </w:r>
      <w:r w:rsidR="006572CF" w:rsidRPr="00D56AF5">
        <w:rPr>
          <w:rFonts w:ascii="Garamond" w:hAnsi="Garamond"/>
          <w:sz w:val="24"/>
          <w:szCs w:val="24"/>
          <w:lang w:val="en-US"/>
        </w:rPr>
        <w:t xml:space="preserve">within </w:t>
      </w:r>
      <w:r w:rsidR="00B9714F" w:rsidRPr="00D56AF5">
        <w:rPr>
          <w:rFonts w:ascii="Garamond" w:hAnsi="Garamond"/>
          <w:sz w:val="24"/>
          <w:szCs w:val="24"/>
          <w:lang w:val="en-US"/>
        </w:rPr>
        <w:t>the international legal framework</w:t>
      </w:r>
      <w:r w:rsidR="00705775" w:rsidRPr="00D56AF5">
        <w:rPr>
          <w:rFonts w:ascii="Garamond" w:hAnsi="Garamond"/>
          <w:sz w:val="24"/>
          <w:szCs w:val="24"/>
          <w:lang w:val="en-US"/>
        </w:rPr>
        <w:t>, and never sought to create a</w:t>
      </w:r>
      <w:r w:rsidR="003D2621">
        <w:rPr>
          <w:rFonts w:ascii="Garamond" w:hAnsi="Garamond"/>
          <w:sz w:val="24"/>
          <w:szCs w:val="24"/>
          <w:lang w:val="en-US"/>
        </w:rPr>
        <w:t xml:space="preserve">n </w:t>
      </w:r>
      <w:r w:rsidR="006A154E" w:rsidRPr="00D56AF5">
        <w:rPr>
          <w:rFonts w:ascii="Garamond" w:hAnsi="Garamond"/>
          <w:sz w:val="24"/>
          <w:szCs w:val="24"/>
          <w:lang w:val="en-US"/>
        </w:rPr>
        <w:t>uninhibited</w:t>
      </w:r>
      <w:r w:rsidR="00705775" w:rsidRPr="00D56AF5">
        <w:rPr>
          <w:rFonts w:ascii="Garamond" w:hAnsi="Garamond"/>
          <w:sz w:val="24"/>
          <w:szCs w:val="24"/>
          <w:lang w:val="en-US"/>
        </w:rPr>
        <w:t xml:space="preserve"> </w:t>
      </w:r>
      <w:r w:rsidR="006A154E" w:rsidRPr="00D56AF5">
        <w:rPr>
          <w:rFonts w:ascii="Garamond" w:hAnsi="Garamond"/>
          <w:sz w:val="24"/>
          <w:szCs w:val="24"/>
          <w:lang w:val="en-US"/>
        </w:rPr>
        <w:t>freedom</w:t>
      </w:r>
      <w:r w:rsidR="00705775" w:rsidRPr="00D56AF5">
        <w:rPr>
          <w:rFonts w:ascii="Garamond" w:hAnsi="Garamond"/>
          <w:sz w:val="24"/>
          <w:szCs w:val="24"/>
          <w:lang w:val="en-US"/>
        </w:rPr>
        <w:t xml:space="preserve"> </w:t>
      </w:r>
      <w:r w:rsidR="006A154E" w:rsidRPr="00D56AF5">
        <w:rPr>
          <w:rFonts w:ascii="Garamond" w:hAnsi="Garamond"/>
          <w:sz w:val="24"/>
          <w:szCs w:val="24"/>
          <w:lang w:val="en-US"/>
        </w:rPr>
        <w:t>which</w:t>
      </w:r>
      <w:r w:rsidR="00BD2040" w:rsidRPr="00D56AF5">
        <w:rPr>
          <w:rFonts w:ascii="Garamond" w:hAnsi="Garamond"/>
          <w:sz w:val="24"/>
          <w:szCs w:val="24"/>
          <w:lang w:val="en-US"/>
        </w:rPr>
        <w:t xml:space="preserve"> </w:t>
      </w:r>
      <w:r w:rsidR="0038666A">
        <w:rPr>
          <w:rFonts w:ascii="Garamond" w:hAnsi="Garamond"/>
          <w:sz w:val="24"/>
          <w:szCs w:val="24"/>
          <w:lang w:val="en-US"/>
        </w:rPr>
        <w:t xml:space="preserve">would </w:t>
      </w:r>
      <w:r w:rsidR="00BD2040" w:rsidRPr="00D56AF5">
        <w:rPr>
          <w:rFonts w:ascii="Garamond" w:hAnsi="Garamond"/>
          <w:sz w:val="24"/>
          <w:szCs w:val="24"/>
          <w:lang w:val="en-US"/>
        </w:rPr>
        <w:t xml:space="preserve">allow for all actions in the absence of </w:t>
      </w:r>
      <w:r w:rsidR="00B21386" w:rsidRPr="00D56AF5">
        <w:rPr>
          <w:rFonts w:ascii="Garamond" w:hAnsi="Garamond"/>
          <w:sz w:val="24"/>
          <w:szCs w:val="24"/>
          <w:lang w:val="en-US"/>
        </w:rPr>
        <w:t>prohibitive rules</w:t>
      </w:r>
      <w:r w:rsidR="00B9714F" w:rsidRPr="00D56AF5">
        <w:rPr>
          <w:rFonts w:ascii="Garamond" w:hAnsi="Garamond"/>
          <w:sz w:val="24"/>
          <w:szCs w:val="24"/>
          <w:lang w:val="en-US"/>
        </w:rPr>
        <w:t>.</w:t>
      </w:r>
      <w:r w:rsidR="00B21386" w:rsidRPr="00D56AF5">
        <w:rPr>
          <w:rStyle w:val="FootnoteReference"/>
          <w:rFonts w:ascii="Garamond" w:hAnsi="Garamond"/>
          <w:sz w:val="24"/>
          <w:szCs w:val="24"/>
          <w:lang w:val="en-US"/>
        </w:rPr>
        <w:footnoteReference w:id="26"/>
      </w:r>
      <w:r w:rsidR="00BF1785" w:rsidRPr="00D56AF5">
        <w:rPr>
          <w:rFonts w:ascii="Garamond" w:hAnsi="Garamond"/>
          <w:sz w:val="24"/>
          <w:szCs w:val="24"/>
          <w:lang w:val="en-US"/>
        </w:rPr>
        <w:t xml:space="preserve"> </w:t>
      </w:r>
      <w:r w:rsidR="00315A6C" w:rsidRPr="00D56AF5">
        <w:rPr>
          <w:rFonts w:ascii="Garamond" w:hAnsi="Garamond"/>
          <w:sz w:val="24"/>
          <w:szCs w:val="24"/>
          <w:lang w:val="en-US"/>
        </w:rPr>
        <w:t>Importantly</w:t>
      </w:r>
      <w:r w:rsidR="00397B90" w:rsidRPr="00D56AF5">
        <w:rPr>
          <w:rFonts w:ascii="Garamond" w:hAnsi="Garamond"/>
          <w:sz w:val="24"/>
          <w:szCs w:val="24"/>
          <w:lang w:val="en-US"/>
        </w:rPr>
        <w:t>,</w:t>
      </w:r>
      <w:r w:rsidR="00BF1785" w:rsidRPr="00D56AF5">
        <w:rPr>
          <w:rFonts w:ascii="Garamond" w:hAnsi="Garamond"/>
          <w:sz w:val="24"/>
          <w:szCs w:val="24"/>
          <w:lang w:val="en-US"/>
        </w:rPr>
        <w:t xml:space="preserve"> Judge </w:t>
      </w:r>
      <w:proofErr w:type="spellStart"/>
      <w:r w:rsidR="00BF1785" w:rsidRPr="00D56AF5">
        <w:rPr>
          <w:rFonts w:ascii="Garamond" w:hAnsi="Garamond"/>
          <w:sz w:val="24"/>
          <w:szCs w:val="24"/>
          <w:lang w:val="en-US"/>
        </w:rPr>
        <w:t>Shahbuddeen</w:t>
      </w:r>
      <w:proofErr w:type="spellEnd"/>
      <w:r w:rsidR="00BF1785" w:rsidRPr="00D56AF5">
        <w:rPr>
          <w:rFonts w:ascii="Garamond" w:hAnsi="Garamond"/>
          <w:sz w:val="24"/>
          <w:szCs w:val="24"/>
          <w:lang w:val="en-US"/>
        </w:rPr>
        <w:t xml:space="preserve"> in the </w:t>
      </w:r>
      <w:r w:rsidR="008A6128">
        <w:rPr>
          <w:rFonts w:ascii="Garamond" w:hAnsi="Garamond"/>
          <w:sz w:val="24"/>
          <w:szCs w:val="24"/>
          <w:lang w:val="en-US"/>
        </w:rPr>
        <w:t xml:space="preserve">1996 </w:t>
      </w:r>
      <w:r w:rsidR="00BF1785" w:rsidRPr="00D56AF5">
        <w:rPr>
          <w:rFonts w:ascii="Garamond" w:hAnsi="Garamond"/>
          <w:sz w:val="24"/>
          <w:szCs w:val="24"/>
          <w:lang w:val="en-US"/>
        </w:rPr>
        <w:t xml:space="preserve">Nuclear Weapons Advisory opinion </w:t>
      </w:r>
      <w:r w:rsidR="00315A6C" w:rsidRPr="00D56AF5">
        <w:rPr>
          <w:rFonts w:ascii="Garamond" w:hAnsi="Garamond"/>
          <w:sz w:val="24"/>
          <w:szCs w:val="24"/>
          <w:lang w:val="en-US"/>
        </w:rPr>
        <w:t>identifies these limits</w:t>
      </w:r>
      <w:r w:rsidR="0004641D">
        <w:rPr>
          <w:rFonts w:ascii="Garamond" w:hAnsi="Garamond"/>
          <w:sz w:val="24"/>
          <w:szCs w:val="24"/>
          <w:lang w:val="en-US"/>
        </w:rPr>
        <w:t xml:space="preserve"> as “[t]he existence of a number of sovereignties side by side” which create “an objective structural framework”, and constrain the rights and actions of states, so that they cannot “act as if the others did not exist”.</w:t>
      </w:r>
      <w:r w:rsidR="00682F7F" w:rsidRPr="00D56AF5">
        <w:rPr>
          <w:rStyle w:val="FootnoteReference"/>
          <w:rFonts w:ascii="Garamond" w:hAnsi="Garamond"/>
          <w:sz w:val="24"/>
          <w:szCs w:val="24"/>
          <w:lang w:val="en-US"/>
        </w:rPr>
        <w:footnoteReference w:id="27"/>
      </w:r>
    </w:p>
    <w:p w14:paraId="7AB7A15D" w14:textId="4F5441BA" w:rsidR="00CA095E" w:rsidRPr="00D56AF5" w:rsidRDefault="008A6128" w:rsidP="001340AF">
      <w:pPr>
        <w:spacing w:after="120" w:line="480" w:lineRule="auto"/>
        <w:jc w:val="both"/>
        <w:rPr>
          <w:rFonts w:ascii="Garamond" w:hAnsi="Garamond"/>
          <w:sz w:val="24"/>
          <w:szCs w:val="24"/>
          <w:lang w:val="en-US"/>
        </w:rPr>
      </w:pPr>
      <w:r>
        <w:rPr>
          <w:rFonts w:ascii="Garamond" w:hAnsi="Garamond"/>
          <w:sz w:val="24"/>
          <w:szCs w:val="24"/>
          <w:lang w:val="en-US"/>
        </w:rPr>
        <w:t xml:space="preserve">Other decisions in international fora have </w:t>
      </w:r>
      <w:r w:rsidR="00CD6381">
        <w:rPr>
          <w:rFonts w:ascii="Garamond" w:hAnsi="Garamond"/>
          <w:sz w:val="24"/>
          <w:szCs w:val="24"/>
          <w:lang w:val="en-US"/>
        </w:rPr>
        <w:t xml:space="preserve">further </w:t>
      </w:r>
      <w:r>
        <w:rPr>
          <w:rFonts w:ascii="Garamond" w:hAnsi="Garamond"/>
          <w:sz w:val="24"/>
          <w:szCs w:val="24"/>
          <w:lang w:val="en-US"/>
        </w:rPr>
        <w:t xml:space="preserve">illuminated the nature of sovereignty. </w:t>
      </w:r>
      <w:r w:rsidR="00DB5003" w:rsidRPr="00D56AF5">
        <w:rPr>
          <w:rFonts w:ascii="Garamond" w:hAnsi="Garamond"/>
          <w:sz w:val="24"/>
          <w:szCs w:val="24"/>
          <w:lang w:val="en-US"/>
        </w:rPr>
        <w:t xml:space="preserve">The </w:t>
      </w:r>
      <w:r w:rsidR="00E071BC" w:rsidRPr="00D56AF5">
        <w:rPr>
          <w:rFonts w:ascii="Garamond" w:hAnsi="Garamond"/>
          <w:sz w:val="24"/>
          <w:szCs w:val="24"/>
          <w:lang w:val="en-US"/>
        </w:rPr>
        <w:t xml:space="preserve">1928 </w:t>
      </w:r>
      <w:r w:rsidR="00114FB6" w:rsidRPr="00D56AF5">
        <w:rPr>
          <w:rFonts w:ascii="Garamond" w:hAnsi="Garamond"/>
          <w:sz w:val="24"/>
          <w:szCs w:val="24"/>
          <w:lang w:val="en-US"/>
        </w:rPr>
        <w:t xml:space="preserve">Island of Palmas </w:t>
      </w:r>
      <w:r w:rsidR="003D2621">
        <w:rPr>
          <w:rFonts w:ascii="Garamond" w:hAnsi="Garamond"/>
          <w:sz w:val="24"/>
          <w:szCs w:val="24"/>
          <w:lang w:val="en-US"/>
        </w:rPr>
        <w:t xml:space="preserve">arbitral award </w:t>
      </w:r>
      <w:r w:rsidR="008538E6" w:rsidRPr="00D56AF5">
        <w:rPr>
          <w:rFonts w:ascii="Garamond" w:hAnsi="Garamond"/>
          <w:sz w:val="24"/>
          <w:szCs w:val="24"/>
          <w:lang w:val="en-US"/>
        </w:rPr>
        <w:t xml:space="preserve">described </w:t>
      </w:r>
      <w:r w:rsidR="00E071BC" w:rsidRPr="00D56AF5">
        <w:rPr>
          <w:rFonts w:ascii="Garamond" w:hAnsi="Garamond"/>
          <w:sz w:val="24"/>
          <w:szCs w:val="24"/>
          <w:lang w:val="en-US"/>
        </w:rPr>
        <w:t xml:space="preserve">external sovereignty as </w:t>
      </w:r>
      <w:r w:rsidR="0058366F" w:rsidRPr="00D56AF5">
        <w:rPr>
          <w:rFonts w:ascii="Garamond" w:hAnsi="Garamond"/>
          <w:sz w:val="24"/>
          <w:szCs w:val="24"/>
          <w:lang w:val="en-US"/>
        </w:rPr>
        <w:t>independence in the relations between states.</w:t>
      </w:r>
      <w:r w:rsidR="0058366F" w:rsidRPr="00D56AF5">
        <w:rPr>
          <w:rStyle w:val="FootnoteReference"/>
          <w:rFonts w:ascii="Garamond" w:hAnsi="Garamond"/>
          <w:sz w:val="24"/>
          <w:szCs w:val="24"/>
          <w:lang w:val="en-US"/>
        </w:rPr>
        <w:footnoteReference w:id="28"/>
      </w:r>
      <w:r w:rsidR="006522E6" w:rsidRPr="00D56AF5">
        <w:rPr>
          <w:rFonts w:ascii="Garamond" w:hAnsi="Garamond"/>
          <w:sz w:val="24"/>
          <w:szCs w:val="24"/>
          <w:lang w:val="en-US"/>
        </w:rPr>
        <w:t xml:space="preserve"> </w:t>
      </w:r>
      <w:r w:rsidR="00EE4E0C" w:rsidRPr="00D56AF5">
        <w:rPr>
          <w:rFonts w:ascii="Garamond" w:hAnsi="Garamond"/>
          <w:sz w:val="24"/>
          <w:szCs w:val="24"/>
          <w:lang w:val="en-US"/>
        </w:rPr>
        <w:t xml:space="preserve">Examining </w:t>
      </w:r>
      <w:r w:rsidR="00CA095E" w:rsidRPr="00D56AF5">
        <w:rPr>
          <w:rFonts w:ascii="Garamond" w:hAnsi="Garamond"/>
          <w:sz w:val="24"/>
          <w:szCs w:val="24"/>
          <w:lang w:val="en-US"/>
        </w:rPr>
        <w:t xml:space="preserve">the more specific principle of territorial </w:t>
      </w:r>
      <w:r w:rsidR="00013B56" w:rsidRPr="00D56AF5">
        <w:rPr>
          <w:rFonts w:ascii="Garamond" w:hAnsi="Garamond"/>
          <w:sz w:val="24"/>
          <w:szCs w:val="24"/>
          <w:lang w:val="en-US"/>
        </w:rPr>
        <w:t xml:space="preserve">sovereignty, the award </w:t>
      </w:r>
      <w:r w:rsidR="003D2621">
        <w:rPr>
          <w:rFonts w:ascii="Garamond" w:hAnsi="Garamond"/>
          <w:sz w:val="24"/>
          <w:szCs w:val="24"/>
          <w:lang w:val="en-US"/>
        </w:rPr>
        <w:t xml:space="preserve">associated it with </w:t>
      </w:r>
      <w:r w:rsidR="00013B56" w:rsidRPr="00D56AF5">
        <w:rPr>
          <w:rFonts w:ascii="Garamond" w:hAnsi="Garamond"/>
          <w:sz w:val="24"/>
          <w:szCs w:val="24"/>
          <w:lang w:val="en-US"/>
        </w:rPr>
        <w:t xml:space="preserve">the </w:t>
      </w:r>
      <w:r w:rsidR="009C34C5" w:rsidRPr="00D56AF5">
        <w:rPr>
          <w:rFonts w:ascii="Garamond" w:hAnsi="Garamond"/>
          <w:sz w:val="24"/>
          <w:szCs w:val="24"/>
          <w:lang w:val="en-US"/>
        </w:rPr>
        <w:t>‘</w:t>
      </w:r>
      <w:r w:rsidR="00E17438" w:rsidRPr="00D56AF5">
        <w:rPr>
          <w:rFonts w:ascii="Garamond" w:hAnsi="Garamond"/>
          <w:sz w:val="24"/>
          <w:szCs w:val="24"/>
          <w:lang w:val="en-US"/>
        </w:rPr>
        <w:t>right</w:t>
      </w:r>
      <w:r w:rsidR="009C34C5" w:rsidRPr="00D56AF5">
        <w:rPr>
          <w:rFonts w:ascii="Garamond" w:hAnsi="Garamond"/>
          <w:sz w:val="24"/>
          <w:szCs w:val="24"/>
          <w:lang w:val="en-US"/>
        </w:rPr>
        <w:t>’ o</w:t>
      </w:r>
      <w:r w:rsidR="009571EB" w:rsidRPr="00D56AF5">
        <w:rPr>
          <w:rFonts w:ascii="Garamond" w:hAnsi="Garamond"/>
          <w:sz w:val="24"/>
          <w:szCs w:val="24"/>
          <w:lang w:val="en-US"/>
        </w:rPr>
        <w:t>f</w:t>
      </w:r>
      <w:r w:rsidR="00E17438" w:rsidRPr="00D56AF5">
        <w:rPr>
          <w:rFonts w:ascii="Garamond" w:hAnsi="Garamond"/>
          <w:sz w:val="24"/>
          <w:szCs w:val="24"/>
          <w:lang w:val="en-US"/>
        </w:rPr>
        <w:t xml:space="preserve"> ‘exclusive competence’ to</w:t>
      </w:r>
      <w:r w:rsidR="00CD6381">
        <w:rPr>
          <w:rFonts w:ascii="Garamond" w:hAnsi="Garamond"/>
          <w:sz w:val="24"/>
          <w:szCs w:val="24"/>
          <w:lang w:val="en-US"/>
        </w:rPr>
        <w:t xml:space="preserve"> </w:t>
      </w:r>
      <w:r w:rsidR="00E17438" w:rsidRPr="00D56AF5">
        <w:rPr>
          <w:rFonts w:ascii="Garamond" w:hAnsi="Garamond"/>
          <w:sz w:val="24"/>
          <w:szCs w:val="24"/>
          <w:lang w:val="en-US"/>
        </w:rPr>
        <w:t>exercise the functions of a state on a territory to the exclusion of other states</w:t>
      </w:r>
      <w:r w:rsidR="00217FBA" w:rsidRPr="00D56AF5">
        <w:rPr>
          <w:rFonts w:ascii="Garamond" w:hAnsi="Garamond"/>
          <w:sz w:val="24"/>
          <w:szCs w:val="24"/>
          <w:lang w:val="en-US"/>
        </w:rPr>
        <w:t>.</w:t>
      </w:r>
      <w:r w:rsidR="009E15AA" w:rsidRPr="00D56AF5">
        <w:rPr>
          <w:rStyle w:val="FootnoteReference"/>
          <w:rFonts w:ascii="Garamond" w:hAnsi="Garamond"/>
          <w:sz w:val="24"/>
          <w:szCs w:val="24"/>
          <w:lang w:val="en-US"/>
        </w:rPr>
        <w:footnoteReference w:id="29"/>
      </w:r>
      <w:r w:rsidR="00217FBA" w:rsidRPr="00D56AF5">
        <w:rPr>
          <w:rFonts w:ascii="Garamond" w:hAnsi="Garamond"/>
          <w:sz w:val="24"/>
          <w:szCs w:val="24"/>
          <w:lang w:val="en-US"/>
        </w:rPr>
        <w:t xml:space="preserve"> </w:t>
      </w:r>
    </w:p>
    <w:p w14:paraId="76A034A7" w14:textId="53C35A25" w:rsidR="00B12E27" w:rsidRPr="00D56AF5" w:rsidRDefault="006902FE" w:rsidP="001340AF">
      <w:pPr>
        <w:spacing w:after="120" w:line="480" w:lineRule="auto"/>
        <w:jc w:val="both"/>
        <w:rPr>
          <w:rFonts w:ascii="Garamond" w:hAnsi="Garamond"/>
          <w:sz w:val="24"/>
          <w:szCs w:val="24"/>
          <w:lang w:val="en-US"/>
        </w:rPr>
      </w:pPr>
      <w:r w:rsidRPr="00D56AF5">
        <w:rPr>
          <w:rFonts w:ascii="Garamond" w:hAnsi="Garamond"/>
          <w:sz w:val="24"/>
          <w:szCs w:val="24"/>
          <w:lang w:val="en-US"/>
        </w:rPr>
        <w:t>In the</w:t>
      </w:r>
      <w:r w:rsidR="007869D0" w:rsidRPr="00D56AF5">
        <w:rPr>
          <w:rFonts w:ascii="Garamond" w:hAnsi="Garamond"/>
          <w:sz w:val="24"/>
          <w:szCs w:val="24"/>
          <w:lang w:val="en-US"/>
        </w:rPr>
        <w:t xml:space="preserve"> Austro German Customs Unit case (1931), Judge Anzilotti </w:t>
      </w:r>
      <w:r w:rsidR="0026235E" w:rsidRPr="00D56AF5">
        <w:rPr>
          <w:rFonts w:ascii="Garamond" w:hAnsi="Garamond"/>
          <w:sz w:val="24"/>
          <w:szCs w:val="24"/>
          <w:lang w:val="en-US"/>
        </w:rPr>
        <w:t>identified externa</w:t>
      </w:r>
      <w:r w:rsidR="00F178AD" w:rsidRPr="00D56AF5">
        <w:rPr>
          <w:rFonts w:ascii="Garamond" w:hAnsi="Garamond"/>
          <w:sz w:val="24"/>
          <w:szCs w:val="24"/>
          <w:lang w:val="en-US"/>
        </w:rPr>
        <w:t>l</w:t>
      </w:r>
      <w:r w:rsidR="0026235E" w:rsidRPr="00D56AF5">
        <w:rPr>
          <w:rFonts w:ascii="Garamond" w:hAnsi="Garamond"/>
          <w:sz w:val="24"/>
          <w:szCs w:val="24"/>
          <w:lang w:val="en-US"/>
        </w:rPr>
        <w:t xml:space="preserve"> sovereignty as </w:t>
      </w:r>
      <w:r w:rsidR="00DB6DF6" w:rsidRPr="00D56AF5">
        <w:rPr>
          <w:rFonts w:ascii="Garamond" w:hAnsi="Garamond"/>
          <w:sz w:val="24"/>
          <w:szCs w:val="24"/>
          <w:lang w:val="en-US"/>
        </w:rPr>
        <w:t>‘</w:t>
      </w:r>
      <w:r w:rsidR="0026235E" w:rsidRPr="00D56AF5">
        <w:rPr>
          <w:rFonts w:ascii="Garamond" w:hAnsi="Garamond"/>
          <w:i/>
          <w:iCs/>
          <w:sz w:val="24"/>
          <w:szCs w:val="24"/>
          <w:lang w:val="en-US"/>
        </w:rPr>
        <w:t xml:space="preserve">suprema </w:t>
      </w:r>
      <w:proofErr w:type="spellStart"/>
      <w:r w:rsidR="0026235E" w:rsidRPr="00D56AF5">
        <w:rPr>
          <w:rFonts w:ascii="Garamond" w:hAnsi="Garamond"/>
          <w:i/>
          <w:iCs/>
          <w:sz w:val="24"/>
          <w:szCs w:val="24"/>
          <w:lang w:val="en-US"/>
        </w:rPr>
        <w:t>potestas</w:t>
      </w:r>
      <w:proofErr w:type="spellEnd"/>
      <w:r w:rsidR="00DB6DF6" w:rsidRPr="00D56AF5">
        <w:rPr>
          <w:rFonts w:ascii="Garamond" w:hAnsi="Garamond"/>
          <w:i/>
          <w:iCs/>
          <w:sz w:val="24"/>
          <w:szCs w:val="24"/>
          <w:lang w:val="en-US"/>
        </w:rPr>
        <w:t>’</w:t>
      </w:r>
      <w:r w:rsidR="005818D6" w:rsidRPr="00D56AF5">
        <w:rPr>
          <w:rFonts w:ascii="Garamond" w:hAnsi="Garamond"/>
          <w:i/>
          <w:iCs/>
          <w:sz w:val="24"/>
          <w:szCs w:val="24"/>
          <w:lang w:val="en-US"/>
        </w:rPr>
        <w:t>,</w:t>
      </w:r>
      <w:r w:rsidR="005818D6" w:rsidRPr="00D56AF5">
        <w:rPr>
          <w:rStyle w:val="FootnoteReference"/>
          <w:rFonts w:ascii="Garamond" w:hAnsi="Garamond"/>
          <w:sz w:val="24"/>
          <w:szCs w:val="24"/>
          <w:lang w:val="en-US"/>
        </w:rPr>
        <w:footnoteReference w:id="30"/>
      </w:r>
      <w:r w:rsidR="0026235E" w:rsidRPr="00D56AF5">
        <w:rPr>
          <w:rFonts w:ascii="Garamond" w:hAnsi="Garamond"/>
          <w:sz w:val="24"/>
          <w:szCs w:val="24"/>
          <w:lang w:val="en-US"/>
        </w:rPr>
        <w:t xml:space="preserve"> and </w:t>
      </w:r>
      <w:r w:rsidR="007869D0" w:rsidRPr="00D56AF5">
        <w:rPr>
          <w:rFonts w:ascii="Garamond" w:hAnsi="Garamond"/>
          <w:sz w:val="24"/>
          <w:szCs w:val="24"/>
          <w:lang w:val="en-US"/>
        </w:rPr>
        <w:t xml:space="preserve">explained that the independence that a state has by virtue of </w:t>
      </w:r>
      <w:r w:rsidR="0026235E" w:rsidRPr="00D56AF5">
        <w:rPr>
          <w:rFonts w:ascii="Garamond" w:hAnsi="Garamond"/>
          <w:sz w:val="24"/>
          <w:szCs w:val="24"/>
          <w:lang w:val="en-US"/>
        </w:rPr>
        <w:t>this</w:t>
      </w:r>
      <w:r w:rsidR="007869D0" w:rsidRPr="00D56AF5">
        <w:rPr>
          <w:rFonts w:ascii="Garamond" w:hAnsi="Garamond"/>
          <w:sz w:val="24"/>
          <w:szCs w:val="24"/>
          <w:lang w:val="en-US"/>
        </w:rPr>
        <w:t xml:space="preserve"> continues to exist as long as the state is not subordinated to the legal authority of another state</w:t>
      </w:r>
      <w:r w:rsidR="008A6128">
        <w:rPr>
          <w:rFonts w:ascii="Garamond" w:hAnsi="Garamond"/>
          <w:sz w:val="24"/>
          <w:szCs w:val="24"/>
          <w:lang w:val="en-US"/>
        </w:rPr>
        <w:t>, with the exception of</w:t>
      </w:r>
      <w:r w:rsidR="007869D0" w:rsidRPr="00D56AF5">
        <w:rPr>
          <w:rFonts w:ascii="Garamond" w:hAnsi="Garamond"/>
          <w:sz w:val="24"/>
          <w:szCs w:val="24"/>
          <w:lang w:val="en-US"/>
        </w:rPr>
        <w:t xml:space="preserve"> the state’s subordination to international law or the assumption of contractual engagements.</w:t>
      </w:r>
      <w:r w:rsidR="007869D0" w:rsidRPr="00D56AF5">
        <w:rPr>
          <w:rStyle w:val="FootnoteReference"/>
          <w:rFonts w:ascii="Garamond" w:hAnsi="Garamond"/>
          <w:sz w:val="24"/>
          <w:szCs w:val="24"/>
          <w:lang w:val="en-US"/>
        </w:rPr>
        <w:footnoteReference w:id="31"/>
      </w:r>
      <w:r w:rsidR="007869D0" w:rsidRPr="00D56AF5">
        <w:rPr>
          <w:rFonts w:ascii="Garamond" w:hAnsi="Garamond"/>
          <w:sz w:val="24"/>
          <w:szCs w:val="24"/>
          <w:lang w:val="en-US"/>
        </w:rPr>
        <w:t xml:space="preserve"> Essentially, sovereignty means that “</w:t>
      </w:r>
      <w:r w:rsidR="007869D0" w:rsidRPr="00D56AF5">
        <w:rPr>
          <w:rFonts w:ascii="Garamond" w:hAnsi="Garamond"/>
          <w:i/>
          <w:iCs/>
          <w:sz w:val="24"/>
          <w:szCs w:val="24"/>
          <w:lang w:val="en-US"/>
        </w:rPr>
        <w:t>the State has over it no other authority than that of international law</w:t>
      </w:r>
      <w:r w:rsidR="007869D0" w:rsidRPr="00D56AF5">
        <w:rPr>
          <w:rFonts w:ascii="Garamond" w:hAnsi="Garamond"/>
          <w:sz w:val="24"/>
          <w:szCs w:val="24"/>
          <w:lang w:val="en-US"/>
        </w:rPr>
        <w:t>”.</w:t>
      </w:r>
      <w:r w:rsidR="007869D0" w:rsidRPr="00D56AF5">
        <w:rPr>
          <w:rStyle w:val="FootnoteReference"/>
          <w:rFonts w:ascii="Garamond" w:hAnsi="Garamond"/>
          <w:sz w:val="24"/>
          <w:szCs w:val="24"/>
          <w:lang w:val="en-US"/>
        </w:rPr>
        <w:footnoteReference w:id="32"/>
      </w:r>
      <w:r w:rsidR="007869D0" w:rsidRPr="00D56AF5">
        <w:rPr>
          <w:rFonts w:ascii="Garamond" w:hAnsi="Garamond"/>
          <w:sz w:val="24"/>
          <w:szCs w:val="24"/>
          <w:lang w:val="en-US"/>
        </w:rPr>
        <w:t xml:space="preserve"> </w:t>
      </w:r>
      <w:r w:rsidR="00867CED" w:rsidRPr="00D56AF5">
        <w:rPr>
          <w:rFonts w:ascii="Garamond" w:hAnsi="Garamond"/>
          <w:sz w:val="24"/>
          <w:szCs w:val="24"/>
          <w:lang w:val="en-US"/>
        </w:rPr>
        <w:t>Further, in</w:t>
      </w:r>
      <w:r w:rsidR="001D4260" w:rsidRPr="00D56AF5">
        <w:rPr>
          <w:rFonts w:ascii="Garamond" w:hAnsi="Garamond"/>
          <w:sz w:val="24"/>
          <w:szCs w:val="24"/>
          <w:lang w:val="en-US"/>
        </w:rPr>
        <w:t xml:space="preserve"> </w:t>
      </w:r>
      <w:r w:rsidR="007869D0" w:rsidRPr="00D56AF5">
        <w:rPr>
          <w:rFonts w:ascii="Garamond" w:hAnsi="Garamond"/>
          <w:sz w:val="24"/>
          <w:szCs w:val="24"/>
          <w:lang w:val="en-US"/>
        </w:rPr>
        <w:t xml:space="preserve">the </w:t>
      </w:r>
      <w:r w:rsidR="009E1388" w:rsidRPr="00D56AF5">
        <w:rPr>
          <w:rFonts w:ascii="Garamond" w:hAnsi="Garamond"/>
          <w:sz w:val="24"/>
          <w:szCs w:val="24"/>
          <w:lang w:val="en-US"/>
        </w:rPr>
        <w:t xml:space="preserve">1986 </w:t>
      </w:r>
      <w:r w:rsidR="007869D0" w:rsidRPr="00D56AF5">
        <w:rPr>
          <w:rFonts w:ascii="Garamond" w:hAnsi="Garamond"/>
          <w:sz w:val="24"/>
          <w:szCs w:val="24"/>
          <w:lang w:val="en-US"/>
        </w:rPr>
        <w:t xml:space="preserve">Nicaragua </w:t>
      </w:r>
      <w:r w:rsidR="00EF66D3">
        <w:rPr>
          <w:rFonts w:ascii="Garamond" w:hAnsi="Garamond"/>
          <w:sz w:val="24"/>
          <w:szCs w:val="24"/>
          <w:lang w:val="en-US"/>
        </w:rPr>
        <w:t>judgment</w:t>
      </w:r>
      <w:r w:rsidR="007869D0" w:rsidRPr="00D56AF5">
        <w:rPr>
          <w:rFonts w:ascii="Garamond" w:hAnsi="Garamond"/>
          <w:sz w:val="24"/>
          <w:szCs w:val="24"/>
          <w:lang w:val="en-US"/>
        </w:rPr>
        <w:t xml:space="preserve">, the ICJ </w:t>
      </w:r>
      <w:r w:rsidR="009E1388" w:rsidRPr="00D56AF5">
        <w:rPr>
          <w:rFonts w:ascii="Garamond" w:hAnsi="Garamond"/>
          <w:sz w:val="24"/>
          <w:szCs w:val="24"/>
          <w:lang w:val="en-US"/>
        </w:rPr>
        <w:t>reiterated</w:t>
      </w:r>
      <w:r w:rsidR="007869D0" w:rsidRPr="00D56AF5">
        <w:rPr>
          <w:rFonts w:ascii="Garamond" w:hAnsi="Garamond"/>
          <w:sz w:val="24"/>
          <w:szCs w:val="24"/>
          <w:lang w:val="en-US"/>
        </w:rPr>
        <w:t xml:space="preserve"> that accepting a limitation in an area where a sovereign has freedom, is consistent with its possession of sovereignty. </w:t>
      </w:r>
      <w:r w:rsidR="00030404">
        <w:rPr>
          <w:rFonts w:ascii="Garamond" w:hAnsi="Garamond"/>
          <w:sz w:val="24"/>
          <w:szCs w:val="24"/>
          <w:lang w:val="en-US"/>
        </w:rPr>
        <w:t>The acceptance of</w:t>
      </w:r>
      <w:r w:rsidR="007869D0" w:rsidRPr="00D56AF5">
        <w:rPr>
          <w:rFonts w:ascii="Garamond" w:hAnsi="Garamond"/>
          <w:sz w:val="24"/>
          <w:szCs w:val="24"/>
          <w:lang w:val="en-US"/>
        </w:rPr>
        <w:t xml:space="preserve"> obligations </w:t>
      </w:r>
      <w:r w:rsidR="00C57F69">
        <w:rPr>
          <w:rFonts w:ascii="Garamond" w:hAnsi="Garamond"/>
          <w:sz w:val="24"/>
          <w:szCs w:val="24"/>
          <w:lang w:val="en-US"/>
        </w:rPr>
        <w:t>would</w:t>
      </w:r>
      <w:r w:rsidR="004C34D4" w:rsidRPr="00D56AF5">
        <w:rPr>
          <w:rFonts w:ascii="Garamond" w:hAnsi="Garamond"/>
          <w:sz w:val="24"/>
          <w:szCs w:val="24"/>
          <w:lang w:val="en-US"/>
        </w:rPr>
        <w:t xml:space="preserve"> not reduce</w:t>
      </w:r>
      <w:r w:rsidR="007869D0" w:rsidRPr="00D56AF5">
        <w:rPr>
          <w:rFonts w:ascii="Garamond" w:hAnsi="Garamond"/>
          <w:sz w:val="24"/>
          <w:szCs w:val="24"/>
          <w:lang w:val="en-US"/>
        </w:rPr>
        <w:t xml:space="preserve"> sovereignty</w:t>
      </w:r>
      <w:r w:rsidR="005078DB" w:rsidRPr="00D56AF5">
        <w:rPr>
          <w:rFonts w:ascii="Garamond" w:hAnsi="Garamond"/>
          <w:sz w:val="24"/>
          <w:szCs w:val="24"/>
          <w:lang w:val="en-US"/>
        </w:rPr>
        <w:t xml:space="preserve"> by that fact alone</w:t>
      </w:r>
      <w:r w:rsidR="007869D0" w:rsidRPr="00D56AF5">
        <w:rPr>
          <w:rFonts w:ascii="Garamond" w:hAnsi="Garamond"/>
          <w:sz w:val="24"/>
          <w:szCs w:val="24"/>
          <w:lang w:val="en-US"/>
        </w:rPr>
        <w:t>.</w:t>
      </w:r>
      <w:r w:rsidR="00C442BE" w:rsidRPr="00D56AF5">
        <w:rPr>
          <w:rStyle w:val="FootnoteReference"/>
          <w:rFonts w:ascii="Garamond" w:hAnsi="Garamond"/>
          <w:sz w:val="24"/>
          <w:szCs w:val="24"/>
          <w:lang w:val="en-US"/>
        </w:rPr>
        <w:footnoteReference w:id="33"/>
      </w:r>
    </w:p>
    <w:p w14:paraId="7BBEB156" w14:textId="6BEB8936" w:rsidR="00896F59" w:rsidRDefault="009D418F" w:rsidP="001340AF">
      <w:pPr>
        <w:spacing w:after="120" w:line="480" w:lineRule="auto"/>
        <w:jc w:val="both"/>
        <w:rPr>
          <w:rFonts w:ascii="Garamond" w:hAnsi="Garamond"/>
          <w:sz w:val="24"/>
          <w:szCs w:val="24"/>
          <w:lang w:val="en-US"/>
        </w:rPr>
      </w:pPr>
      <w:r w:rsidRPr="00D56AF5">
        <w:rPr>
          <w:rFonts w:ascii="Garamond" w:hAnsi="Garamond"/>
          <w:sz w:val="24"/>
          <w:szCs w:val="24"/>
          <w:lang w:val="en-US"/>
        </w:rPr>
        <w:lastRenderedPageBreak/>
        <w:t>Four</w:t>
      </w:r>
      <w:r w:rsidR="00D8698B" w:rsidRPr="00D56AF5">
        <w:rPr>
          <w:rFonts w:ascii="Garamond" w:hAnsi="Garamond"/>
          <w:sz w:val="24"/>
          <w:szCs w:val="24"/>
          <w:lang w:val="en-US"/>
        </w:rPr>
        <w:t xml:space="preserve"> main</w:t>
      </w:r>
      <w:r w:rsidR="00AC1E19" w:rsidRPr="00D56AF5">
        <w:rPr>
          <w:rFonts w:ascii="Garamond" w:hAnsi="Garamond"/>
          <w:sz w:val="24"/>
          <w:szCs w:val="24"/>
          <w:lang w:val="en-US"/>
        </w:rPr>
        <w:t xml:space="preserve"> </w:t>
      </w:r>
      <w:r w:rsidR="008F008D" w:rsidRPr="00D56AF5">
        <w:rPr>
          <w:rFonts w:ascii="Garamond" w:hAnsi="Garamond"/>
          <w:sz w:val="24"/>
          <w:szCs w:val="24"/>
          <w:lang w:val="en-US"/>
        </w:rPr>
        <w:t>conclusions can be drawn from th</w:t>
      </w:r>
      <w:r w:rsidR="00EF66D3">
        <w:rPr>
          <w:rFonts w:ascii="Garamond" w:hAnsi="Garamond"/>
          <w:sz w:val="24"/>
          <w:szCs w:val="24"/>
          <w:lang w:val="en-US"/>
        </w:rPr>
        <w:t>ese cases</w:t>
      </w:r>
      <w:r w:rsidR="001A111C">
        <w:rPr>
          <w:rFonts w:ascii="Garamond" w:hAnsi="Garamond"/>
          <w:sz w:val="24"/>
          <w:szCs w:val="24"/>
          <w:lang w:val="en-US"/>
        </w:rPr>
        <w:t>, about the concept of sovereignty</w:t>
      </w:r>
      <w:r w:rsidR="00244DDD" w:rsidRPr="00D56AF5">
        <w:rPr>
          <w:rFonts w:ascii="Garamond" w:hAnsi="Garamond"/>
          <w:sz w:val="24"/>
          <w:szCs w:val="24"/>
          <w:lang w:val="en-US"/>
        </w:rPr>
        <w:t xml:space="preserve">: </w:t>
      </w:r>
    </w:p>
    <w:p w14:paraId="3BB12C1A" w14:textId="08FBD8D5" w:rsidR="002B2B57" w:rsidRPr="002B2B57" w:rsidRDefault="002B2B57" w:rsidP="00B679CD">
      <w:pPr>
        <w:pStyle w:val="Heading3"/>
        <w:numPr>
          <w:ilvl w:val="2"/>
          <w:numId w:val="35"/>
        </w:numPr>
        <w:rPr>
          <w:lang w:val="en-US"/>
        </w:rPr>
      </w:pPr>
      <w:bookmarkStart w:id="7" w:name="_Toc191740724"/>
      <w:r w:rsidRPr="002B2B57">
        <w:rPr>
          <w:lang w:val="en-US"/>
        </w:rPr>
        <w:t>Sovereignty is a political-legal concept</w:t>
      </w:r>
      <w:bookmarkEnd w:id="7"/>
    </w:p>
    <w:p w14:paraId="7173A428" w14:textId="0A9223C3" w:rsidR="003D2621" w:rsidRDefault="002B2B57" w:rsidP="001340AF">
      <w:pPr>
        <w:spacing w:after="120" w:line="480" w:lineRule="auto"/>
        <w:jc w:val="both"/>
        <w:rPr>
          <w:rFonts w:ascii="Garamond" w:hAnsi="Garamond"/>
          <w:sz w:val="24"/>
          <w:szCs w:val="24"/>
          <w:lang w:val="en-US"/>
        </w:rPr>
      </w:pPr>
      <w:r w:rsidRPr="002B2B57">
        <w:rPr>
          <w:rFonts w:ascii="Garamond" w:hAnsi="Garamond"/>
          <w:sz w:val="24"/>
          <w:szCs w:val="24"/>
          <w:lang w:val="en-US"/>
        </w:rPr>
        <w:t>As</w:t>
      </w:r>
      <w:r w:rsidR="00ED771E" w:rsidRPr="00D56AF5">
        <w:rPr>
          <w:rFonts w:ascii="Garamond" w:hAnsi="Garamond"/>
          <w:sz w:val="24"/>
          <w:szCs w:val="24"/>
          <w:lang w:val="en-US"/>
        </w:rPr>
        <w:t xml:space="preserve"> evinced by </w:t>
      </w:r>
      <w:r w:rsidR="002331A0" w:rsidRPr="00D56AF5">
        <w:rPr>
          <w:rFonts w:ascii="Garamond" w:hAnsi="Garamond"/>
          <w:sz w:val="24"/>
          <w:szCs w:val="24"/>
          <w:lang w:val="en-US"/>
        </w:rPr>
        <w:t xml:space="preserve">the </w:t>
      </w:r>
      <w:r w:rsidR="00F978F9" w:rsidRPr="00D56AF5">
        <w:rPr>
          <w:rFonts w:ascii="Garamond" w:hAnsi="Garamond"/>
          <w:sz w:val="24"/>
          <w:szCs w:val="24"/>
          <w:lang w:val="en-US"/>
        </w:rPr>
        <w:t xml:space="preserve">juxtaposition of </w:t>
      </w:r>
      <w:r w:rsidR="002331A0" w:rsidRPr="00D56AF5">
        <w:rPr>
          <w:rFonts w:ascii="Garamond" w:hAnsi="Garamond"/>
          <w:sz w:val="24"/>
          <w:szCs w:val="24"/>
          <w:lang w:val="en-US"/>
        </w:rPr>
        <w:t>‘</w:t>
      </w:r>
      <w:r w:rsidR="00F978F9" w:rsidRPr="00D56AF5">
        <w:rPr>
          <w:rFonts w:ascii="Garamond" w:hAnsi="Garamond"/>
          <w:sz w:val="24"/>
          <w:szCs w:val="24"/>
          <w:lang w:val="en-US"/>
        </w:rPr>
        <w:t>right</w:t>
      </w:r>
      <w:r w:rsidR="002331A0" w:rsidRPr="00D56AF5">
        <w:rPr>
          <w:rFonts w:ascii="Garamond" w:hAnsi="Garamond"/>
          <w:sz w:val="24"/>
          <w:szCs w:val="24"/>
          <w:lang w:val="en-US"/>
        </w:rPr>
        <w:t>’</w:t>
      </w:r>
      <w:r w:rsidR="00F978F9" w:rsidRPr="00D56AF5">
        <w:rPr>
          <w:rFonts w:ascii="Garamond" w:hAnsi="Garamond"/>
          <w:sz w:val="24"/>
          <w:szCs w:val="24"/>
          <w:lang w:val="en-US"/>
        </w:rPr>
        <w:t xml:space="preserve"> and </w:t>
      </w:r>
      <w:r w:rsidR="002331A0" w:rsidRPr="00D56AF5">
        <w:rPr>
          <w:rFonts w:ascii="Garamond" w:hAnsi="Garamond"/>
          <w:sz w:val="24"/>
          <w:szCs w:val="24"/>
          <w:lang w:val="en-US"/>
        </w:rPr>
        <w:t>‘</w:t>
      </w:r>
      <w:r w:rsidR="00F978F9" w:rsidRPr="00D56AF5">
        <w:rPr>
          <w:rFonts w:ascii="Garamond" w:hAnsi="Garamond"/>
          <w:sz w:val="24"/>
          <w:szCs w:val="24"/>
          <w:lang w:val="en-US"/>
        </w:rPr>
        <w:t>competence</w:t>
      </w:r>
      <w:r w:rsidR="002331A0" w:rsidRPr="00D56AF5">
        <w:rPr>
          <w:rFonts w:ascii="Garamond" w:hAnsi="Garamond"/>
          <w:sz w:val="24"/>
          <w:szCs w:val="24"/>
          <w:lang w:val="en-US"/>
        </w:rPr>
        <w:t>’</w:t>
      </w:r>
      <w:r w:rsidR="00F978F9" w:rsidRPr="00D56AF5">
        <w:rPr>
          <w:rFonts w:ascii="Garamond" w:hAnsi="Garamond"/>
          <w:sz w:val="24"/>
          <w:szCs w:val="24"/>
          <w:lang w:val="en-US"/>
        </w:rPr>
        <w:t xml:space="preserve"> (</w:t>
      </w:r>
      <w:r w:rsidR="005349BF" w:rsidRPr="00D56AF5">
        <w:rPr>
          <w:rFonts w:ascii="Garamond" w:hAnsi="Garamond"/>
          <w:sz w:val="24"/>
          <w:szCs w:val="24"/>
          <w:lang w:val="en-US"/>
        </w:rPr>
        <w:t xml:space="preserve">The </w:t>
      </w:r>
      <w:r w:rsidR="00F978F9" w:rsidRPr="00D56AF5">
        <w:rPr>
          <w:rFonts w:ascii="Garamond" w:hAnsi="Garamond"/>
          <w:sz w:val="24"/>
          <w:szCs w:val="24"/>
          <w:lang w:val="en-US"/>
        </w:rPr>
        <w:t xml:space="preserve">Island of Palmas Arbitration), and the </w:t>
      </w:r>
      <w:r w:rsidR="00DA2B9B" w:rsidRPr="00D56AF5">
        <w:rPr>
          <w:rFonts w:ascii="Garamond" w:hAnsi="Garamond"/>
          <w:sz w:val="24"/>
          <w:szCs w:val="24"/>
          <w:lang w:val="en-US"/>
        </w:rPr>
        <w:t xml:space="preserve">discussions of </w:t>
      </w:r>
      <w:r w:rsidR="002331A0" w:rsidRPr="00D56AF5">
        <w:rPr>
          <w:rFonts w:ascii="Garamond" w:hAnsi="Garamond"/>
          <w:sz w:val="24"/>
          <w:szCs w:val="24"/>
          <w:lang w:val="en-US"/>
        </w:rPr>
        <w:t xml:space="preserve">sovereignty as the relationship between </w:t>
      </w:r>
      <w:r w:rsidR="00DA2B9B" w:rsidRPr="00D56AF5">
        <w:rPr>
          <w:rFonts w:ascii="Garamond" w:hAnsi="Garamond"/>
          <w:sz w:val="24"/>
          <w:szCs w:val="24"/>
          <w:lang w:val="en-US"/>
        </w:rPr>
        <w:t>legal restrictions</w:t>
      </w:r>
      <w:r w:rsidR="002331A0" w:rsidRPr="00D56AF5">
        <w:rPr>
          <w:rFonts w:ascii="Garamond" w:hAnsi="Garamond"/>
          <w:sz w:val="24"/>
          <w:szCs w:val="24"/>
          <w:lang w:val="en-US"/>
        </w:rPr>
        <w:t xml:space="preserve"> </w:t>
      </w:r>
      <w:r w:rsidR="00956E33">
        <w:rPr>
          <w:rFonts w:ascii="Garamond" w:hAnsi="Garamond"/>
          <w:sz w:val="24"/>
          <w:szCs w:val="24"/>
          <w:lang w:val="en-US"/>
        </w:rPr>
        <w:t xml:space="preserve">and </w:t>
      </w:r>
      <w:r w:rsidR="00956E33" w:rsidRPr="00D56AF5">
        <w:rPr>
          <w:rFonts w:ascii="Garamond" w:hAnsi="Garamond"/>
          <w:sz w:val="24"/>
          <w:szCs w:val="24"/>
          <w:lang w:val="en-US"/>
        </w:rPr>
        <w:t xml:space="preserve">political freedom </w:t>
      </w:r>
      <w:r w:rsidR="002331A0" w:rsidRPr="00D56AF5">
        <w:rPr>
          <w:rFonts w:ascii="Garamond" w:hAnsi="Garamond"/>
          <w:sz w:val="24"/>
          <w:szCs w:val="24"/>
          <w:lang w:val="en-US"/>
        </w:rPr>
        <w:t>(</w:t>
      </w:r>
      <w:r w:rsidR="00263456" w:rsidRPr="00D56AF5">
        <w:rPr>
          <w:rFonts w:ascii="Garamond" w:hAnsi="Garamond"/>
          <w:sz w:val="24"/>
          <w:szCs w:val="24"/>
          <w:lang w:val="en-US"/>
        </w:rPr>
        <w:t xml:space="preserve">the Lotus </w:t>
      </w:r>
      <w:r w:rsidR="000A18EC" w:rsidRPr="00D56AF5">
        <w:rPr>
          <w:rFonts w:ascii="Garamond" w:hAnsi="Garamond"/>
          <w:sz w:val="24"/>
          <w:szCs w:val="24"/>
          <w:lang w:val="en-US"/>
        </w:rPr>
        <w:t>C</w:t>
      </w:r>
      <w:r w:rsidR="00263456" w:rsidRPr="00D56AF5">
        <w:rPr>
          <w:rFonts w:ascii="Garamond" w:hAnsi="Garamond"/>
          <w:sz w:val="24"/>
          <w:szCs w:val="24"/>
          <w:lang w:val="en-US"/>
        </w:rPr>
        <w:t>ase</w:t>
      </w:r>
      <w:r w:rsidR="008A6128">
        <w:rPr>
          <w:rFonts w:ascii="Garamond" w:hAnsi="Garamond"/>
          <w:sz w:val="24"/>
          <w:szCs w:val="24"/>
          <w:lang w:val="en-US"/>
        </w:rPr>
        <w:t>,</w:t>
      </w:r>
      <w:r w:rsidR="002331A0" w:rsidRPr="00D56AF5">
        <w:rPr>
          <w:rFonts w:ascii="Garamond" w:hAnsi="Garamond"/>
          <w:sz w:val="24"/>
          <w:szCs w:val="24"/>
          <w:lang w:val="en-US"/>
        </w:rPr>
        <w:t xml:space="preserve"> and </w:t>
      </w:r>
      <w:r w:rsidR="002676B5" w:rsidRPr="00D56AF5">
        <w:rPr>
          <w:rFonts w:ascii="Garamond" w:hAnsi="Garamond"/>
          <w:sz w:val="24"/>
          <w:szCs w:val="24"/>
          <w:lang w:val="en-US"/>
        </w:rPr>
        <w:t xml:space="preserve">Judge </w:t>
      </w:r>
      <w:proofErr w:type="spellStart"/>
      <w:r w:rsidR="002676B5" w:rsidRPr="00D56AF5">
        <w:rPr>
          <w:rFonts w:ascii="Garamond" w:hAnsi="Garamond"/>
          <w:sz w:val="24"/>
          <w:szCs w:val="24"/>
          <w:lang w:val="en-US"/>
        </w:rPr>
        <w:t>Shahabhuddeen</w:t>
      </w:r>
      <w:proofErr w:type="spellEnd"/>
      <w:r w:rsidR="002676B5" w:rsidRPr="00D56AF5">
        <w:rPr>
          <w:rFonts w:ascii="Garamond" w:hAnsi="Garamond"/>
          <w:sz w:val="24"/>
          <w:szCs w:val="24"/>
          <w:lang w:val="en-US"/>
        </w:rPr>
        <w:t xml:space="preserve"> in the </w:t>
      </w:r>
      <w:proofErr w:type="gramStart"/>
      <w:r w:rsidR="00263456" w:rsidRPr="00D56AF5">
        <w:rPr>
          <w:rFonts w:ascii="Garamond" w:hAnsi="Garamond"/>
          <w:sz w:val="24"/>
          <w:szCs w:val="24"/>
          <w:lang w:val="en-US"/>
        </w:rPr>
        <w:t>Nuclear Weapons</w:t>
      </w:r>
      <w:proofErr w:type="gramEnd"/>
      <w:r w:rsidR="00263456" w:rsidRPr="00D56AF5">
        <w:rPr>
          <w:rFonts w:ascii="Garamond" w:hAnsi="Garamond"/>
          <w:sz w:val="24"/>
          <w:szCs w:val="24"/>
          <w:lang w:val="en-US"/>
        </w:rPr>
        <w:t xml:space="preserve"> Advisory Opinion</w:t>
      </w:r>
      <w:r w:rsidR="002331A0" w:rsidRPr="00D56AF5">
        <w:rPr>
          <w:rFonts w:ascii="Garamond" w:hAnsi="Garamond"/>
          <w:sz w:val="24"/>
          <w:szCs w:val="24"/>
          <w:lang w:val="en-US"/>
        </w:rPr>
        <w:t>)</w:t>
      </w:r>
      <w:r w:rsidR="00440CE8" w:rsidRPr="00D56AF5">
        <w:rPr>
          <w:rFonts w:ascii="Garamond" w:hAnsi="Garamond"/>
          <w:sz w:val="24"/>
          <w:szCs w:val="24"/>
          <w:lang w:val="en-US"/>
        </w:rPr>
        <w:t xml:space="preserve">, it is clear that external sovereignty </w:t>
      </w:r>
      <w:r w:rsidR="001A111C">
        <w:rPr>
          <w:rFonts w:ascii="Garamond" w:hAnsi="Garamond"/>
          <w:sz w:val="24"/>
          <w:szCs w:val="24"/>
          <w:lang w:val="en-US"/>
        </w:rPr>
        <w:t>is a political-legal concept</w:t>
      </w:r>
      <w:r w:rsidR="00C35A8F" w:rsidRPr="00D56AF5">
        <w:rPr>
          <w:rFonts w:ascii="Garamond" w:hAnsi="Garamond"/>
          <w:sz w:val="24"/>
          <w:szCs w:val="24"/>
          <w:lang w:val="en-US"/>
        </w:rPr>
        <w:t xml:space="preserve">. </w:t>
      </w:r>
      <w:r w:rsidR="003F25D0" w:rsidRPr="00D56AF5">
        <w:rPr>
          <w:rFonts w:ascii="Garamond" w:hAnsi="Garamond"/>
          <w:sz w:val="24"/>
          <w:szCs w:val="24"/>
          <w:lang w:val="en-US"/>
        </w:rPr>
        <w:t>In a legal sense</w:t>
      </w:r>
      <w:r w:rsidR="0076181E" w:rsidRPr="00D56AF5">
        <w:rPr>
          <w:rFonts w:ascii="Garamond" w:hAnsi="Garamond"/>
          <w:sz w:val="24"/>
          <w:szCs w:val="24"/>
          <w:lang w:val="en-US"/>
        </w:rPr>
        <w:t xml:space="preserve">, sovereignty consists </w:t>
      </w:r>
      <w:r w:rsidR="00CF2134" w:rsidRPr="00D56AF5">
        <w:rPr>
          <w:rFonts w:ascii="Garamond" w:hAnsi="Garamond"/>
          <w:sz w:val="24"/>
          <w:szCs w:val="24"/>
          <w:lang w:val="en-US"/>
        </w:rPr>
        <w:t>of</w:t>
      </w:r>
      <w:r w:rsidR="00827BDA" w:rsidRPr="00D56AF5">
        <w:rPr>
          <w:rFonts w:ascii="Garamond" w:hAnsi="Garamond"/>
          <w:sz w:val="24"/>
          <w:szCs w:val="24"/>
          <w:lang w:val="en-US"/>
        </w:rPr>
        <w:t xml:space="preserve"> </w:t>
      </w:r>
      <w:r w:rsidR="00372EE1" w:rsidRPr="00D56AF5">
        <w:rPr>
          <w:rFonts w:ascii="Garamond" w:hAnsi="Garamond"/>
          <w:sz w:val="24"/>
          <w:szCs w:val="24"/>
          <w:lang w:val="en-US"/>
        </w:rPr>
        <w:t xml:space="preserve">legal </w:t>
      </w:r>
      <w:r w:rsidR="00827BDA" w:rsidRPr="00D56AF5">
        <w:rPr>
          <w:rFonts w:ascii="Garamond" w:hAnsi="Garamond"/>
          <w:sz w:val="24"/>
          <w:szCs w:val="24"/>
          <w:lang w:val="en-US"/>
        </w:rPr>
        <w:t>rights</w:t>
      </w:r>
      <w:r w:rsidR="00372EE1" w:rsidRPr="00D56AF5">
        <w:rPr>
          <w:rFonts w:ascii="Garamond" w:hAnsi="Garamond"/>
          <w:sz w:val="24"/>
          <w:szCs w:val="24"/>
          <w:lang w:val="en-US"/>
        </w:rPr>
        <w:t xml:space="preserve"> to exercise functions</w:t>
      </w:r>
      <w:r w:rsidR="0040173D" w:rsidRPr="00D56AF5">
        <w:rPr>
          <w:rFonts w:ascii="Garamond" w:hAnsi="Garamond"/>
          <w:sz w:val="24"/>
          <w:szCs w:val="24"/>
          <w:lang w:val="en-US"/>
        </w:rPr>
        <w:t xml:space="preserve">, and </w:t>
      </w:r>
      <w:r w:rsidR="00DC5B61" w:rsidRPr="00D56AF5">
        <w:rPr>
          <w:rFonts w:ascii="Garamond" w:hAnsi="Garamond"/>
          <w:sz w:val="24"/>
          <w:szCs w:val="24"/>
          <w:lang w:val="en-US"/>
        </w:rPr>
        <w:t xml:space="preserve">in its </w:t>
      </w:r>
      <w:r w:rsidR="00372EE1" w:rsidRPr="00D56AF5">
        <w:rPr>
          <w:rFonts w:ascii="Garamond" w:hAnsi="Garamond"/>
          <w:sz w:val="24"/>
          <w:szCs w:val="24"/>
          <w:lang w:val="en-US"/>
        </w:rPr>
        <w:t xml:space="preserve">political </w:t>
      </w:r>
      <w:r w:rsidR="00DC5B61" w:rsidRPr="00D56AF5">
        <w:rPr>
          <w:rFonts w:ascii="Garamond" w:hAnsi="Garamond"/>
          <w:sz w:val="24"/>
          <w:szCs w:val="24"/>
          <w:lang w:val="en-US"/>
        </w:rPr>
        <w:t>form</w:t>
      </w:r>
      <w:r w:rsidR="0040173D" w:rsidRPr="00D56AF5">
        <w:rPr>
          <w:rFonts w:ascii="Garamond" w:hAnsi="Garamond"/>
          <w:sz w:val="24"/>
          <w:szCs w:val="24"/>
          <w:lang w:val="en-US"/>
        </w:rPr>
        <w:t xml:space="preserve">, it entails the actual power </w:t>
      </w:r>
      <w:r w:rsidR="004D1C9B" w:rsidRPr="00D56AF5">
        <w:rPr>
          <w:rFonts w:ascii="Garamond" w:hAnsi="Garamond"/>
          <w:sz w:val="24"/>
          <w:szCs w:val="24"/>
          <w:lang w:val="en-US"/>
        </w:rPr>
        <w:t xml:space="preserve">or competence to </w:t>
      </w:r>
      <w:r w:rsidR="00E8697C" w:rsidRPr="00D56AF5">
        <w:rPr>
          <w:rFonts w:ascii="Garamond" w:hAnsi="Garamond"/>
          <w:sz w:val="24"/>
          <w:szCs w:val="24"/>
          <w:lang w:val="en-US"/>
        </w:rPr>
        <w:t xml:space="preserve">execute these functions. </w:t>
      </w:r>
      <w:r w:rsidR="003F6126" w:rsidRPr="00D56AF5">
        <w:rPr>
          <w:rFonts w:ascii="Garamond" w:hAnsi="Garamond"/>
          <w:sz w:val="24"/>
          <w:szCs w:val="24"/>
          <w:lang w:val="en-US"/>
        </w:rPr>
        <w:t>This is reinforced by</w:t>
      </w:r>
      <w:r w:rsidR="0034473D" w:rsidRPr="00D56AF5">
        <w:rPr>
          <w:rFonts w:ascii="Garamond" w:hAnsi="Garamond"/>
          <w:sz w:val="24"/>
          <w:szCs w:val="24"/>
          <w:lang w:val="en-US"/>
        </w:rPr>
        <w:t xml:space="preserve"> </w:t>
      </w:r>
      <w:r w:rsidR="00796D93" w:rsidRPr="00D56AF5">
        <w:rPr>
          <w:rFonts w:ascii="Garamond" w:hAnsi="Garamond"/>
          <w:sz w:val="24"/>
          <w:szCs w:val="24"/>
          <w:lang w:val="en-US"/>
        </w:rPr>
        <w:t>Judge Anzilotti’s identification of</w:t>
      </w:r>
      <w:r w:rsidR="009F59B0" w:rsidRPr="00D56AF5">
        <w:rPr>
          <w:rFonts w:ascii="Garamond" w:hAnsi="Garamond"/>
          <w:sz w:val="24"/>
          <w:szCs w:val="24"/>
          <w:lang w:val="en-US"/>
        </w:rPr>
        <w:t xml:space="preserve"> external</w:t>
      </w:r>
      <w:r w:rsidR="00796D93" w:rsidRPr="00D56AF5">
        <w:rPr>
          <w:rFonts w:ascii="Garamond" w:hAnsi="Garamond"/>
          <w:sz w:val="24"/>
          <w:szCs w:val="24"/>
          <w:lang w:val="en-US"/>
        </w:rPr>
        <w:t xml:space="preserve"> sovereignty as </w:t>
      </w:r>
      <w:r w:rsidR="00796D93" w:rsidRPr="00D56AF5">
        <w:rPr>
          <w:rFonts w:ascii="Garamond" w:hAnsi="Garamond"/>
          <w:i/>
          <w:iCs/>
          <w:sz w:val="24"/>
          <w:szCs w:val="24"/>
          <w:lang w:val="en-US"/>
        </w:rPr>
        <w:t xml:space="preserve">suprema </w:t>
      </w:r>
      <w:proofErr w:type="spellStart"/>
      <w:r w:rsidR="00796D93" w:rsidRPr="00D56AF5">
        <w:rPr>
          <w:rFonts w:ascii="Garamond" w:hAnsi="Garamond"/>
          <w:i/>
          <w:iCs/>
          <w:sz w:val="24"/>
          <w:szCs w:val="24"/>
          <w:lang w:val="en-US"/>
        </w:rPr>
        <w:t>potestas</w:t>
      </w:r>
      <w:proofErr w:type="spellEnd"/>
      <w:r w:rsidR="00205CBE" w:rsidRPr="00D56AF5">
        <w:rPr>
          <w:rFonts w:ascii="Garamond" w:hAnsi="Garamond"/>
          <w:i/>
          <w:iCs/>
          <w:sz w:val="24"/>
          <w:szCs w:val="24"/>
          <w:lang w:val="en-US"/>
        </w:rPr>
        <w:t>,</w:t>
      </w:r>
      <w:r w:rsidR="00796D93" w:rsidRPr="00D56AF5">
        <w:rPr>
          <w:rFonts w:ascii="Garamond" w:hAnsi="Garamond"/>
          <w:sz w:val="24"/>
          <w:szCs w:val="24"/>
          <w:lang w:val="en-US"/>
        </w:rPr>
        <w:t xml:space="preserve"> </w:t>
      </w:r>
      <w:r w:rsidR="00205CBE" w:rsidRPr="00D56AF5">
        <w:rPr>
          <w:rFonts w:ascii="Garamond" w:hAnsi="Garamond"/>
          <w:sz w:val="24"/>
          <w:szCs w:val="24"/>
          <w:lang w:val="en-US"/>
        </w:rPr>
        <w:t xml:space="preserve">implying </w:t>
      </w:r>
      <w:r w:rsidR="00D63522" w:rsidRPr="00D56AF5">
        <w:rPr>
          <w:rFonts w:ascii="Garamond" w:hAnsi="Garamond"/>
          <w:sz w:val="24"/>
          <w:szCs w:val="24"/>
          <w:lang w:val="en-US"/>
        </w:rPr>
        <w:t xml:space="preserve">that </w:t>
      </w:r>
      <w:r w:rsidR="009F59B0" w:rsidRPr="00D56AF5">
        <w:rPr>
          <w:rFonts w:ascii="Garamond" w:hAnsi="Garamond"/>
          <w:sz w:val="24"/>
          <w:szCs w:val="24"/>
          <w:lang w:val="en-US"/>
        </w:rPr>
        <w:t xml:space="preserve">it </w:t>
      </w:r>
      <w:r w:rsidR="00D63522" w:rsidRPr="00D56AF5">
        <w:rPr>
          <w:rFonts w:ascii="Garamond" w:hAnsi="Garamond"/>
          <w:sz w:val="24"/>
          <w:szCs w:val="24"/>
          <w:lang w:val="en-US"/>
        </w:rPr>
        <w:t>is not merely power</w:t>
      </w:r>
      <w:r w:rsidR="0027287E" w:rsidRPr="00D56AF5">
        <w:rPr>
          <w:rFonts w:ascii="Garamond" w:hAnsi="Garamond"/>
          <w:sz w:val="24"/>
          <w:szCs w:val="24"/>
          <w:lang w:val="en-US"/>
        </w:rPr>
        <w:t xml:space="preserve"> but </w:t>
      </w:r>
      <w:r w:rsidR="000B6D37" w:rsidRPr="00D56AF5">
        <w:rPr>
          <w:rFonts w:ascii="Garamond" w:hAnsi="Garamond"/>
          <w:sz w:val="24"/>
          <w:szCs w:val="24"/>
          <w:lang w:val="en-US"/>
        </w:rPr>
        <w:t xml:space="preserve">also </w:t>
      </w:r>
      <w:r w:rsidR="0027287E" w:rsidRPr="00D56AF5">
        <w:rPr>
          <w:rFonts w:ascii="Garamond" w:hAnsi="Garamond"/>
          <w:sz w:val="24"/>
          <w:szCs w:val="24"/>
          <w:lang w:val="en-US"/>
        </w:rPr>
        <w:t>rightful authority</w:t>
      </w:r>
      <w:r w:rsidR="009F59B0" w:rsidRPr="00D56AF5">
        <w:rPr>
          <w:rFonts w:ascii="Garamond" w:hAnsi="Garamond"/>
          <w:sz w:val="24"/>
          <w:szCs w:val="24"/>
          <w:lang w:val="en-US"/>
        </w:rPr>
        <w:t>.</w:t>
      </w:r>
      <w:r w:rsidR="006F50B7" w:rsidRPr="00D56AF5">
        <w:rPr>
          <w:rStyle w:val="FootnoteReference"/>
          <w:rFonts w:ascii="Garamond" w:hAnsi="Garamond"/>
          <w:sz w:val="24"/>
          <w:szCs w:val="24"/>
          <w:lang w:val="en-US"/>
        </w:rPr>
        <w:footnoteReference w:id="34"/>
      </w:r>
      <w:r w:rsidR="009F59B0" w:rsidRPr="00D56AF5">
        <w:rPr>
          <w:rFonts w:ascii="Garamond" w:hAnsi="Garamond"/>
          <w:sz w:val="24"/>
          <w:szCs w:val="24"/>
          <w:lang w:val="en-US"/>
        </w:rPr>
        <w:t xml:space="preserve"> </w:t>
      </w:r>
    </w:p>
    <w:p w14:paraId="7798EB79" w14:textId="43B86D0D" w:rsidR="003D2621" w:rsidRDefault="007F17FF" w:rsidP="001340AF">
      <w:pPr>
        <w:spacing w:after="120" w:line="480" w:lineRule="auto"/>
        <w:jc w:val="both"/>
        <w:rPr>
          <w:rFonts w:ascii="Garamond" w:hAnsi="Garamond"/>
          <w:sz w:val="24"/>
          <w:szCs w:val="24"/>
          <w:lang w:val="en-US"/>
        </w:rPr>
      </w:pPr>
      <w:r>
        <w:rPr>
          <w:rFonts w:ascii="Garamond" w:hAnsi="Garamond"/>
          <w:sz w:val="24"/>
          <w:szCs w:val="24"/>
          <w:lang w:val="en-US"/>
        </w:rPr>
        <w:t xml:space="preserve">Since </w:t>
      </w:r>
      <w:proofErr w:type="spellStart"/>
      <w:r w:rsidRPr="007F17FF">
        <w:rPr>
          <w:rFonts w:ascii="Garamond" w:hAnsi="Garamond"/>
          <w:i/>
          <w:iCs/>
          <w:sz w:val="24"/>
          <w:szCs w:val="24"/>
          <w:lang w:val="en-US"/>
        </w:rPr>
        <w:t>p</w:t>
      </w:r>
      <w:r w:rsidR="00D66B88" w:rsidRPr="007F17FF">
        <w:rPr>
          <w:rFonts w:ascii="Garamond" w:hAnsi="Garamond"/>
          <w:i/>
          <w:iCs/>
          <w:sz w:val="24"/>
          <w:szCs w:val="24"/>
          <w:lang w:val="en-US"/>
        </w:rPr>
        <w:t>otestas</w:t>
      </w:r>
      <w:proofErr w:type="spellEnd"/>
      <w:r>
        <w:rPr>
          <w:rFonts w:ascii="Garamond" w:hAnsi="Garamond"/>
          <w:sz w:val="24"/>
          <w:szCs w:val="24"/>
          <w:lang w:val="en-US"/>
        </w:rPr>
        <w:t xml:space="preserve"> </w:t>
      </w:r>
      <w:r w:rsidR="00863875" w:rsidRPr="00D56AF5">
        <w:rPr>
          <w:rFonts w:ascii="Garamond" w:hAnsi="Garamond"/>
          <w:sz w:val="24"/>
          <w:szCs w:val="24"/>
          <w:lang w:val="en-US"/>
        </w:rPr>
        <w:t xml:space="preserve">weds </w:t>
      </w:r>
      <w:r>
        <w:rPr>
          <w:rFonts w:ascii="Garamond" w:hAnsi="Garamond"/>
          <w:sz w:val="24"/>
          <w:szCs w:val="24"/>
          <w:lang w:val="en-US"/>
        </w:rPr>
        <w:t xml:space="preserve">the ideas of </w:t>
      </w:r>
      <w:r w:rsidR="00B41784" w:rsidRPr="00D56AF5">
        <w:rPr>
          <w:rFonts w:ascii="Garamond" w:hAnsi="Garamond"/>
          <w:sz w:val="24"/>
          <w:szCs w:val="24"/>
          <w:lang w:val="en-US"/>
        </w:rPr>
        <w:t>legal and political</w:t>
      </w:r>
      <w:r w:rsidR="00863875" w:rsidRPr="00D56AF5">
        <w:rPr>
          <w:rFonts w:ascii="Garamond" w:hAnsi="Garamond"/>
          <w:sz w:val="24"/>
          <w:szCs w:val="24"/>
          <w:lang w:val="en-US"/>
        </w:rPr>
        <w:t xml:space="preserve"> authority</w:t>
      </w:r>
      <w:r w:rsidR="00B41784" w:rsidRPr="00D56AF5">
        <w:rPr>
          <w:rFonts w:ascii="Garamond" w:hAnsi="Garamond"/>
          <w:sz w:val="24"/>
          <w:szCs w:val="24"/>
          <w:lang w:val="en-US"/>
        </w:rPr>
        <w:t xml:space="preserve">, </w:t>
      </w:r>
      <w:r>
        <w:rPr>
          <w:rFonts w:ascii="Garamond" w:hAnsi="Garamond"/>
          <w:sz w:val="24"/>
          <w:szCs w:val="24"/>
          <w:lang w:val="en-US"/>
        </w:rPr>
        <w:t xml:space="preserve">it </w:t>
      </w:r>
      <w:r w:rsidR="00B41784" w:rsidRPr="00D56AF5">
        <w:rPr>
          <w:rFonts w:ascii="Garamond" w:hAnsi="Garamond"/>
          <w:sz w:val="24"/>
          <w:szCs w:val="24"/>
          <w:lang w:val="en-US"/>
        </w:rPr>
        <w:t xml:space="preserve">offers </w:t>
      </w:r>
      <w:r w:rsidR="003D2621">
        <w:rPr>
          <w:rFonts w:ascii="Garamond" w:hAnsi="Garamond"/>
          <w:sz w:val="24"/>
          <w:szCs w:val="24"/>
          <w:lang w:val="en-US"/>
        </w:rPr>
        <w:t xml:space="preserve">an </w:t>
      </w:r>
      <w:r w:rsidR="00796D93" w:rsidRPr="00D56AF5">
        <w:rPr>
          <w:rFonts w:ascii="Garamond" w:hAnsi="Garamond"/>
          <w:sz w:val="24"/>
          <w:szCs w:val="24"/>
          <w:lang w:val="en-US"/>
        </w:rPr>
        <w:t xml:space="preserve">insight </w:t>
      </w:r>
      <w:r w:rsidR="003D2621">
        <w:rPr>
          <w:rFonts w:ascii="Garamond" w:hAnsi="Garamond"/>
          <w:sz w:val="24"/>
          <w:szCs w:val="24"/>
          <w:lang w:val="en-US"/>
        </w:rPr>
        <w:t xml:space="preserve">into the mechanics of the constitution of external sovereignty. An analogy </w:t>
      </w:r>
      <w:r>
        <w:rPr>
          <w:rFonts w:ascii="Garamond" w:hAnsi="Garamond"/>
          <w:sz w:val="24"/>
          <w:szCs w:val="24"/>
          <w:lang w:val="en-US"/>
        </w:rPr>
        <w:t xml:space="preserve">to internal sovereignty serves well here. </w:t>
      </w:r>
    </w:p>
    <w:p w14:paraId="2E100A84" w14:textId="7347EBDB" w:rsidR="003B3A84" w:rsidRPr="00D56AF5" w:rsidRDefault="007E3EAB" w:rsidP="001340AF">
      <w:pPr>
        <w:spacing w:after="120" w:line="480" w:lineRule="auto"/>
        <w:jc w:val="both"/>
        <w:rPr>
          <w:rFonts w:ascii="Garamond" w:hAnsi="Garamond"/>
          <w:sz w:val="24"/>
          <w:szCs w:val="24"/>
          <w:lang w:val="en-US"/>
        </w:rPr>
      </w:pPr>
      <w:r w:rsidRPr="00D56AF5">
        <w:rPr>
          <w:rFonts w:ascii="Garamond" w:hAnsi="Garamond"/>
          <w:sz w:val="24"/>
          <w:szCs w:val="24"/>
          <w:lang w:val="en-US"/>
        </w:rPr>
        <w:t>For the constitution of internal sovereignty,</w:t>
      </w:r>
      <w:r w:rsidR="008A6128">
        <w:rPr>
          <w:rFonts w:ascii="Garamond" w:hAnsi="Garamond"/>
          <w:sz w:val="24"/>
          <w:szCs w:val="24"/>
          <w:lang w:val="en-US"/>
        </w:rPr>
        <w:t xml:space="preserve"> Loughlin argues that</w:t>
      </w:r>
      <w:r w:rsidRPr="00D56AF5">
        <w:rPr>
          <w:rFonts w:ascii="Garamond" w:hAnsi="Garamond"/>
          <w:sz w:val="24"/>
          <w:szCs w:val="24"/>
          <w:lang w:val="en-US"/>
        </w:rPr>
        <w:t xml:space="preserve"> </w:t>
      </w:r>
      <w:r w:rsidR="00E00BE2" w:rsidRPr="00D56AF5">
        <w:rPr>
          <w:rFonts w:ascii="Garamond" w:hAnsi="Garamond"/>
          <w:sz w:val="24"/>
          <w:szCs w:val="24"/>
          <w:lang w:val="en-US"/>
        </w:rPr>
        <w:t>the law transforms the political power of a political community into legal relations between the ruler and ruled through a ‘double juristic claim’.</w:t>
      </w:r>
      <w:r w:rsidR="00E00BE2" w:rsidRPr="00D56AF5">
        <w:rPr>
          <w:rStyle w:val="FootnoteReference"/>
          <w:rFonts w:ascii="Garamond" w:hAnsi="Garamond"/>
          <w:sz w:val="24"/>
          <w:szCs w:val="24"/>
          <w:lang w:val="en-US"/>
        </w:rPr>
        <w:footnoteReference w:id="35"/>
      </w:r>
      <w:r w:rsidR="00E00BE2" w:rsidRPr="00D56AF5">
        <w:rPr>
          <w:rFonts w:ascii="Garamond" w:hAnsi="Garamond"/>
          <w:sz w:val="24"/>
          <w:szCs w:val="24"/>
          <w:lang w:val="en-US"/>
        </w:rPr>
        <w:t xml:space="preserve"> </w:t>
      </w:r>
      <w:r w:rsidR="003B3A84" w:rsidRPr="00D56AF5">
        <w:rPr>
          <w:rFonts w:ascii="Garamond" w:hAnsi="Garamond"/>
          <w:sz w:val="24"/>
          <w:szCs w:val="24"/>
          <w:lang w:val="en-US"/>
        </w:rPr>
        <w:t>First, the absolute political authority of the political community takes a legal institutional form</w:t>
      </w:r>
      <w:r w:rsidR="001F3FA5">
        <w:rPr>
          <w:rFonts w:ascii="Garamond" w:hAnsi="Garamond"/>
          <w:sz w:val="24"/>
          <w:szCs w:val="24"/>
          <w:lang w:val="en-US"/>
        </w:rPr>
        <w:t xml:space="preserve"> </w:t>
      </w:r>
      <w:r w:rsidR="001F3FA5" w:rsidRPr="00D56AF5">
        <w:rPr>
          <w:rFonts w:ascii="Garamond" w:hAnsi="Garamond"/>
          <w:sz w:val="24"/>
          <w:szCs w:val="24"/>
          <w:lang w:val="en-US"/>
        </w:rPr>
        <w:t>(</w:t>
      </w:r>
      <w:proofErr w:type="spellStart"/>
      <w:r w:rsidR="001F3FA5" w:rsidRPr="00D56AF5">
        <w:rPr>
          <w:rFonts w:ascii="Garamond" w:hAnsi="Garamond"/>
          <w:i/>
          <w:iCs/>
          <w:sz w:val="24"/>
          <w:szCs w:val="24"/>
          <w:lang w:val="en-US"/>
        </w:rPr>
        <w:t>potestas</w:t>
      </w:r>
      <w:proofErr w:type="spellEnd"/>
      <w:r w:rsidR="001F3FA5" w:rsidRPr="00D56AF5">
        <w:rPr>
          <w:rFonts w:ascii="Garamond" w:hAnsi="Garamond"/>
          <w:sz w:val="24"/>
          <w:szCs w:val="24"/>
          <w:lang w:val="en-US"/>
        </w:rPr>
        <w:t>)</w:t>
      </w:r>
      <w:r w:rsidR="003B3A84" w:rsidRPr="00D56AF5">
        <w:rPr>
          <w:rFonts w:ascii="Garamond" w:hAnsi="Garamond"/>
          <w:sz w:val="24"/>
          <w:szCs w:val="24"/>
          <w:lang w:val="en-US"/>
        </w:rPr>
        <w:t>, and the government emerges as the constituted sovereign. Through the operation of the political right, the government gets the legal authority to rule.</w:t>
      </w:r>
      <w:r w:rsidR="003B3A84" w:rsidRPr="00D56AF5">
        <w:rPr>
          <w:rStyle w:val="FootnoteReference"/>
          <w:rFonts w:ascii="Garamond" w:hAnsi="Garamond"/>
          <w:sz w:val="24"/>
          <w:szCs w:val="24"/>
          <w:lang w:val="en-US"/>
        </w:rPr>
        <w:footnoteReference w:id="36"/>
      </w:r>
      <w:r w:rsidR="003B3A84" w:rsidRPr="00D56AF5">
        <w:rPr>
          <w:rFonts w:ascii="Garamond" w:hAnsi="Garamond"/>
          <w:sz w:val="24"/>
          <w:szCs w:val="24"/>
          <w:lang w:val="en-US"/>
        </w:rPr>
        <w:t xml:space="preserve"> Second, </w:t>
      </w:r>
      <w:r w:rsidR="002C757E" w:rsidRPr="00D56AF5">
        <w:rPr>
          <w:rFonts w:ascii="Garamond" w:hAnsi="Garamond"/>
          <w:sz w:val="24"/>
          <w:szCs w:val="24"/>
          <w:lang w:val="en-US"/>
        </w:rPr>
        <w:t xml:space="preserve">under </w:t>
      </w:r>
      <w:r w:rsidR="003B3A84" w:rsidRPr="00D56AF5">
        <w:rPr>
          <w:rFonts w:ascii="Garamond" w:hAnsi="Garamond"/>
          <w:sz w:val="24"/>
          <w:szCs w:val="24"/>
          <w:lang w:val="en-US"/>
        </w:rPr>
        <w:t xml:space="preserve">rightful authority, the government </w:t>
      </w:r>
      <w:r w:rsidR="00126419" w:rsidRPr="00D56AF5">
        <w:rPr>
          <w:rFonts w:ascii="Garamond" w:hAnsi="Garamond"/>
          <w:sz w:val="24"/>
          <w:szCs w:val="24"/>
          <w:lang w:val="en-US"/>
        </w:rPr>
        <w:t>channels</w:t>
      </w:r>
      <w:r w:rsidR="003B3A84" w:rsidRPr="00D56AF5">
        <w:rPr>
          <w:rFonts w:ascii="Garamond" w:hAnsi="Garamond"/>
          <w:sz w:val="24"/>
          <w:szCs w:val="24"/>
          <w:lang w:val="en-US"/>
        </w:rPr>
        <w:t xml:space="preserve"> the competence </w:t>
      </w:r>
      <w:r w:rsidR="00DB1042" w:rsidRPr="00D56AF5">
        <w:rPr>
          <w:rFonts w:ascii="Garamond" w:hAnsi="Garamond"/>
          <w:sz w:val="24"/>
          <w:szCs w:val="24"/>
          <w:lang w:val="en-US"/>
        </w:rPr>
        <w:t>(</w:t>
      </w:r>
      <w:proofErr w:type="spellStart"/>
      <w:r w:rsidR="00DB1042" w:rsidRPr="00D56AF5">
        <w:rPr>
          <w:rFonts w:ascii="Garamond" w:hAnsi="Garamond"/>
          <w:i/>
          <w:iCs/>
          <w:sz w:val="24"/>
          <w:szCs w:val="24"/>
          <w:lang w:val="en-US"/>
        </w:rPr>
        <w:t>potentia</w:t>
      </w:r>
      <w:proofErr w:type="spellEnd"/>
      <w:r w:rsidR="00DB1042" w:rsidRPr="00D56AF5">
        <w:rPr>
          <w:rFonts w:ascii="Garamond" w:hAnsi="Garamond"/>
          <w:sz w:val="24"/>
          <w:szCs w:val="24"/>
          <w:lang w:val="en-US"/>
        </w:rPr>
        <w:t>)</w:t>
      </w:r>
      <w:r w:rsidR="00DB1042">
        <w:rPr>
          <w:rFonts w:ascii="Garamond" w:hAnsi="Garamond"/>
          <w:sz w:val="24"/>
          <w:szCs w:val="24"/>
          <w:lang w:val="en-US"/>
        </w:rPr>
        <w:t xml:space="preserve"> </w:t>
      </w:r>
      <w:r w:rsidR="003B3A84" w:rsidRPr="00D56AF5">
        <w:rPr>
          <w:rFonts w:ascii="Garamond" w:hAnsi="Garamond"/>
          <w:sz w:val="24"/>
          <w:szCs w:val="24"/>
          <w:lang w:val="en-US"/>
        </w:rPr>
        <w:t xml:space="preserve">to govern </w:t>
      </w:r>
      <w:r w:rsidR="00120E8D">
        <w:rPr>
          <w:rFonts w:ascii="Garamond" w:hAnsi="Garamond"/>
          <w:sz w:val="24"/>
          <w:szCs w:val="24"/>
          <w:lang w:val="en-US"/>
        </w:rPr>
        <w:t xml:space="preserve">through </w:t>
      </w:r>
      <w:r w:rsidR="003B3A84" w:rsidRPr="00D56AF5">
        <w:rPr>
          <w:rFonts w:ascii="Garamond" w:hAnsi="Garamond"/>
          <w:sz w:val="24"/>
          <w:szCs w:val="24"/>
          <w:lang w:val="en-US"/>
        </w:rPr>
        <w:t>positive law.</w:t>
      </w:r>
      <w:r w:rsidR="003B3A84" w:rsidRPr="00D56AF5">
        <w:rPr>
          <w:rStyle w:val="FootnoteReference"/>
          <w:rFonts w:ascii="Garamond" w:hAnsi="Garamond"/>
          <w:sz w:val="24"/>
          <w:szCs w:val="24"/>
          <w:lang w:val="en-US"/>
        </w:rPr>
        <w:footnoteReference w:id="37"/>
      </w:r>
      <w:r w:rsidR="003B3A84" w:rsidRPr="00D56AF5">
        <w:rPr>
          <w:rFonts w:ascii="Garamond" w:hAnsi="Garamond"/>
          <w:sz w:val="24"/>
          <w:szCs w:val="24"/>
          <w:lang w:val="en-US"/>
        </w:rPr>
        <w:t xml:space="preserve"> Sovereignty is then the ‘dialectical interplay’ between </w:t>
      </w:r>
      <w:proofErr w:type="spellStart"/>
      <w:r w:rsidR="003B3A84" w:rsidRPr="00D56AF5">
        <w:rPr>
          <w:rFonts w:ascii="Garamond" w:hAnsi="Garamond"/>
          <w:sz w:val="24"/>
          <w:szCs w:val="24"/>
          <w:lang w:val="en-US"/>
        </w:rPr>
        <w:t>potestas</w:t>
      </w:r>
      <w:proofErr w:type="spellEnd"/>
      <w:r w:rsidR="003B3A84" w:rsidRPr="00D56AF5">
        <w:rPr>
          <w:rFonts w:ascii="Garamond" w:hAnsi="Garamond"/>
          <w:sz w:val="24"/>
          <w:szCs w:val="24"/>
          <w:lang w:val="en-US"/>
        </w:rPr>
        <w:t xml:space="preserve"> and </w:t>
      </w:r>
      <w:proofErr w:type="spellStart"/>
      <w:r w:rsidR="003B3A84" w:rsidRPr="00D56AF5">
        <w:rPr>
          <w:rFonts w:ascii="Garamond" w:hAnsi="Garamond"/>
          <w:sz w:val="24"/>
          <w:szCs w:val="24"/>
          <w:lang w:val="en-US"/>
        </w:rPr>
        <w:t>potentia</w:t>
      </w:r>
      <w:proofErr w:type="spellEnd"/>
      <w:r w:rsidR="003B3A84" w:rsidRPr="00D56AF5">
        <w:rPr>
          <w:rFonts w:ascii="Garamond" w:hAnsi="Garamond"/>
          <w:sz w:val="24"/>
          <w:szCs w:val="24"/>
          <w:lang w:val="en-US"/>
        </w:rPr>
        <w:t>,</w:t>
      </w:r>
      <w:r w:rsidR="003B3A84" w:rsidRPr="00D56AF5">
        <w:rPr>
          <w:rStyle w:val="FootnoteReference"/>
          <w:rFonts w:ascii="Garamond" w:hAnsi="Garamond"/>
          <w:sz w:val="24"/>
          <w:szCs w:val="24"/>
          <w:lang w:val="en-US"/>
        </w:rPr>
        <w:footnoteReference w:id="38"/>
      </w:r>
      <w:r w:rsidR="003B3A84" w:rsidRPr="00D56AF5">
        <w:rPr>
          <w:rFonts w:ascii="Garamond" w:hAnsi="Garamond"/>
          <w:sz w:val="24"/>
          <w:szCs w:val="24"/>
          <w:lang w:val="en-US"/>
        </w:rPr>
        <w:t xml:space="preserve"> where “</w:t>
      </w:r>
      <w:proofErr w:type="spellStart"/>
      <w:r w:rsidR="003B3A84" w:rsidRPr="003D2621">
        <w:rPr>
          <w:rFonts w:ascii="Garamond" w:hAnsi="Garamond"/>
          <w:i/>
          <w:iCs/>
          <w:sz w:val="24"/>
          <w:szCs w:val="24"/>
          <w:lang w:val="en-US"/>
        </w:rPr>
        <w:t>potestas</w:t>
      </w:r>
      <w:proofErr w:type="spellEnd"/>
      <w:r w:rsidR="003B3A84" w:rsidRPr="003D2621">
        <w:rPr>
          <w:rFonts w:ascii="Garamond" w:hAnsi="Garamond"/>
          <w:i/>
          <w:iCs/>
          <w:sz w:val="24"/>
          <w:szCs w:val="24"/>
          <w:lang w:val="en-US"/>
        </w:rPr>
        <w:t xml:space="preserve"> refers to the institutional arrangement in virtue of which the sovereign has authority and legitimacy, while </w:t>
      </w:r>
      <w:proofErr w:type="spellStart"/>
      <w:r w:rsidR="003B3A84" w:rsidRPr="003D2621">
        <w:rPr>
          <w:rFonts w:ascii="Garamond" w:hAnsi="Garamond"/>
          <w:i/>
          <w:iCs/>
          <w:sz w:val="24"/>
          <w:szCs w:val="24"/>
          <w:lang w:val="en-US"/>
        </w:rPr>
        <w:t>potentia</w:t>
      </w:r>
      <w:proofErr w:type="spellEnd"/>
      <w:r w:rsidR="003B3A84" w:rsidRPr="003D2621">
        <w:rPr>
          <w:rFonts w:ascii="Garamond" w:hAnsi="Garamond"/>
          <w:i/>
          <w:iCs/>
          <w:sz w:val="24"/>
          <w:szCs w:val="24"/>
          <w:lang w:val="en-US"/>
        </w:rPr>
        <w:t xml:space="preserve"> </w:t>
      </w:r>
      <w:r w:rsidR="003B3A84" w:rsidRPr="003D2621">
        <w:rPr>
          <w:rFonts w:ascii="Garamond" w:hAnsi="Garamond"/>
          <w:i/>
          <w:iCs/>
          <w:sz w:val="24"/>
          <w:szCs w:val="24"/>
          <w:lang w:val="en-US"/>
        </w:rPr>
        <w:lastRenderedPageBreak/>
        <w:t>indicates the actual power to produce effects, regardless of the political context</w:t>
      </w:r>
      <w:r w:rsidR="003B3A84" w:rsidRPr="00D56AF5">
        <w:rPr>
          <w:rFonts w:ascii="Garamond" w:hAnsi="Garamond"/>
          <w:sz w:val="24"/>
          <w:szCs w:val="24"/>
          <w:lang w:val="en-US"/>
        </w:rPr>
        <w:t>”.</w:t>
      </w:r>
      <w:r w:rsidR="003B3A84" w:rsidRPr="00D56AF5">
        <w:rPr>
          <w:rStyle w:val="FootnoteReference"/>
          <w:rFonts w:ascii="Garamond" w:hAnsi="Garamond"/>
          <w:sz w:val="24"/>
          <w:szCs w:val="24"/>
          <w:lang w:val="en-US"/>
        </w:rPr>
        <w:footnoteReference w:id="39"/>
      </w:r>
      <w:r w:rsidR="003B3A84" w:rsidRPr="00D56AF5">
        <w:rPr>
          <w:rFonts w:ascii="Garamond" w:hAnsi="Garamond"/>
          <w:sz w:val="24"/>
          <w:szCs w:val="24"/>
          <w:lang w:val="en-US"/>
        </w:rPr>
        <w:t xml:space="preserve"> This tracks the distinction between the ability or capacity to govern (</w:t>
      </w:r>
      <w:proofErr w:type="spellStart"/>
      <w:r w:rsidR="003B3A84" w:rsidRPr="00D56AF5">
        <w:rPr>
          <w:rFonts w:ascii="Garamond" w:hAnsi="Garamond"/>
          <w:sz w:val="24"/>
          <w:szCs w:val="24"/>
          <w:lang w:val="en-US"/>
        </w:rPr>
        <w:t>potentia</w:t>
      </w:r>
      <w:proofErr w:type="spellEnd"/>
      <w:r w:rsidR="003B3A84" w:rsidRPr="00D56AF5">
        <w:rPr>
          <w:rFonts w:ascii="Garamond" w:hAnsi="Garamond"/>
          <w:sz w:val="24"/>
          <w:szCs w:val="24"/>
          <w:lang w:val="en-US"/>
        </w:rPr>
        <w:t>) and the right to govern (</w:t>
      </w:r>
      <w:proofErr w:type="spellStart"/>
      <w:r w:rsidR="003B3A84" w:rsidRPr="00D56AF5">
        <w:rPr>
          <w:rFonts w:ascii="Garamond" w:hAnsi="Garamond"/>
          <w:sz w:val="24"/>
          <w:szCs w:val="24"/>
          <w:lang w:val="en-US"/>
        </w:rPr>
        <w:t>potestas</w:t>
      </w:r>
      <w:proofErr w:type="spellEnd"/>
      <w:r w:rsidR="003B3A84" w:rsidRPr="00D56AF5">
        <w:rPr>
          <w:rFonts w:ascii="Garamond" w:hAnsi="Garamond"/>
          <w:sz w:val="24"/>
          <w:szCs w:val="24"/>
          <w:lang w:val="en-US"/>
        </w:rPr>
        <w:t xml:space="preserve">), with sovereignty remaining intact, as long as the </w:t>
      </w:r>
      <w:proofErr w:type="spellStart"/>
      <w:r w:rsidR="003B3A84" w:rsidRPr="00D56AF5">
        <w:rPr>
          <w:rFonts w:ascii="Garamond" w:hAnsi="Garamond"/>
          <w:sz w:val="24"/>
          <w:szCs w:val="24"/>
          <w:lang w:val="en-US"/>
        </w:rPr>
        <w:t>potestas</w:t>
      </w:r>
      <w:proofErr w:type="spellEnd"/>
      <w:r w:rsidR="003B3A84" w:rsidRPr="00D56AF5">
        <w:rPr>
          <w:rFonts w:ascii="Garamond" w:hAnsi="Garamond"/>
          <w:sz w:val="24"/>
          <w:szCs w:val="24"/>
          <w:lang w:val="en-US"/>
        </w:rPr>
        <w:t xml:space="preserve"> is retained by the state.</w:t>
      </w:r>
      <w:r w:rsidR="003B3A84" w:rsidRPr="00D56AF5">
        <w:rPr>
          <w:rStyle w:val="FootnoteReference"/>
          <w:rFonts w:ascii="Garamond" w:hAnsi="Garamond"/>
          <w:sz w:val="24"/>
          <w:szCs w:val="24"/>
          <w:lang w:val="en-US"/>
        </w:rPr>
        <w:footnoteReference w:id="40"/>
      </w:r>
      <w:r w:rsidR="003B3A84" w:rsidRPr="00D56AF5">
        <w:rPr>
          <w:rFonts w:ascii="Garamond" w:hAnsi="Garamond"/>
          <w:sz w:val="24"/>
          <w:szCs w:val="24"/>
          <w:lang w:val="en-US"/>
        </w:rPr>
        <w:t xml:space="preserve"> This is what allows for the enduring possession of sovereignty, even when sovereign rights and competences are limited or alienated.</w:t>
      </w:r>
    </w:p>
    <w:p w14:paraId="0D09766B" w14:textId="66230633" w:rsidR="00896F59" w:rsidRDefault="00227F98"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Similarly, </w:t>
      </w:r>
      <w:r w:rsidR="003B3A84" w:rsidRPr="00D56AF5">
        <w:rPr>
          <w:rFonts w:ascii="Garamond" w:hAnsi="Garamond"/>
          <w:sz w:val="24"/>
          <w:szCs w:val="24"/>
          <w:lang w:val="en-US"/>
        </w:rPr>
        <w:t xml:space="preserve">external sovereignty is legally constituted by international law, </w:t>
      </w:r>
      <w:r w:rsidR="00C37FA6" w:rsidRPr="00D56AF5">
        <w:rPr>
          <w:rFonts w:ascii="Garamond" w:hAnsi="Garamond"/>
          <w:sz w:val="24"/>
          <w:szCs w:val="24"/>
          <w:lang w:val="en-US"/>
        </w:rPr>
        <w:t>while</w:t>
      </w:r>
      <w:r w:rsidR="003B3A84" w:rsidRPr="00D56AF5">
        <w:rPr>
          <w:rFonts w:ascii="Garamond" w:hAnsi="Garamond"/>
          <w:sz w:val="24"/>
          <w:szCs w:val="24"/>
          <w:lang w:val="en-US"/>
        </w:rPr>
        <w:t xml:space="preserve"> simultaneously </w:t>
      </w:r>
      <w:r w:rsidR="00C37FA6" w:rsidRPr="00D56AF5">
        <w:rPr>
          <w:rFonts w:ascii="Garamond" w:hAnsi="Garamond"/>
          <w:sz w:val="24"/>
          <w:szCs w:val="24"/>
          <w:lang w:val="en-US"/>
        </w:rPr>
        <w:t xml:space="preserve">acting </w:t>
      </w:r>
      <w:r w:rsidR="003B3A84" w:rsidRPr="00D56AF5">
        <w:rPr>
          <w:rFonts w:ascii="Garamond" w:hAnsi="Garamond"/>
          <w:sz w:val="24"/>
          <w:szCs w:val="24"/>
          <w:lang w:val="en-US"/>
        </w:rPr>
        <w:t>as a source of international l</w:t>
      </w:r>
      <w:r w:rsidR="00D5186F">
        <w:rPr>
          <w:rFonts w:ascii="Garamond" w:hAnsi="Garamond"/>
          <w:sz w:val="24"/>
          <w:szCs w:val="24"/>
          <w:lang w:val="en-US"/>
        </w:rPr>
        <w:t>egal</w:t>
      </w:r>
      <w:r w:rsidR="003B3A84" w:rsidRPr="00D56AF5">
        <w:rPr>
          <w:rFonts w:ascii="Garamond" w:hAnsi="Garamond"/>
          <w:sz w:val="24"/>
          <w:szCs w:val="24"/>
          <w:lang w:val="en-US"/>
        </w:rPr>
        <w:t xml:space="preserve"> restrictions on sovereign competences.</w:t>
      </w:r>
      <w:r w:rsidR="003B3A84" w:rsidRPr="00D56AF5">
        <w:rPr>
          <w:rStyle w:val="FootnoteReference"/>
          <w:rFonts w:ascii="Garamond" w:hAnsi="Garamond"/>
          <w:sz w:val="24"/>
          <w:szCs w:val="24"/>
          <w:lang w:val="en-US"/>
        </w:rPr>
        <w:footnoteReference w:id="41"/>
      </w:r>
      <w:r w:rsidR="003B3A84" w:rsidRPr="00D56AF5">
        <w:rPr>
          <w:rFonts w:ascii="Garamond" w:hAnsi="Garamond"/>
          <w:sz w:val="24"/>
          <w:szCs w:val="24"/>
          <w:lang w:val="en-US"/>
        </w:rPr>
        <w:t xml:space="preserve"> International law emerges from the exercise of pre-legal political power by political communities</w:t>
      </w:r>
      <w:r w:rsidR="00E34D90" w:rsidRPr="00D56AF5">
        <w:rPr>
          <w:rFonts w:ascii="Garamond" w:hAnsi="Garamond"/>
          <w:sz w:val="24"/>
          <w:szCs w:val="24"/>
          <w:lang w:val="en-US"/>
        </w:rPr>
        <w:t>.</w:t>
      </w:r>
      <w:r w:rsidR="003B3A84" w:rsidRPr="00D56AF5">
        <w:rPr>
          <w:rStyle w:val="FootnoteReference"/>
          <w:rFonts w:ascii="Garamond" w:hAnsi="Garamond"/>
          <w:sz w:val="24"/>
          <w:szCs w:val="24"/>
          <w:lang w:val="en-US"/>
        </w:rPr>
        <w:footnoteReference w:id="42"/>
      </w:r>
      <w:r w:rsidR="003B3A84" w:rsidRPr="00D56AF5">
        <w:rPr>
          <w:rFonts w:ascii="Garamond" w:hAnsi="Garamond"/>
          <w:sz w:val="24"/>
          <w:szCs w:val="24"/>
          <w:lang w:val="en-US"/>
        </w:rPr>
        <w:t xml:space="preserve"> </w:t>
      </w:r>
      <w:r w:rsidR="00D876AA" w:rsidRPr="00D56AF5">
        <w:rPr>
          <w:rFonts w:ascii="Garamond" w:hAnsi="Garamond"/>
          <w:sz w:val="24"/>
          <w:szCs w:val="24"/>
          <w:lang w:val="en-US"/>
        </w:rPr>
        <w:t xml:space="preserve">International law </w:t>
      </w:r>
      <w:r w:rsidR="0048405A" w:rsidRPr="00D56AF5">
        <w:rPr>
          <w:rFonts w:ascii="Garamond" w:hAnsi="Garamond"/>
          <w:sz w:val="24"/>
          <w:szCs w:val="24"/>
          <w:lang w:val="en-US"/>
        </w:rPr>
        <w:t xml:space="preserve">constitutively </w:t>
      </w:r>
      <w:r w:rsidR="00D876AA" w:rsidRPr="00D56AF5">
        <w:rPr>
          <w:rFonts w:ascii="Garamond" w:hAnsi="Garamond"/>
          <w:sz w:val="24"/>
          <w:szCs w:val="24"/>
          <w:lang w:val="en-US"/>
        </w:rPr>
        <w:t>recognizes the state</w:t>
      </w:r>
      <w:r w:rsidR="003613B0" w:rsidRPr="00D56AF5">
        <w:rPr>
          <w:rFonts w:ascii="Garamond" w:hAnsi="Garamond"/>
          <w:sz w:val="24"/>
          <w:szCs w:val="24"/>
          <w:lang w:val="en-US"/>
        </w:rPr>
        <w:t xml:space="preserve"> and its sovereignty</w:t>
      </w:r>
      <w:r w:rsidR="00E00571" w:rsidRPr="00D56AF5">
        <w:rPr>
          <w:rFonts w:ascii="Garamond" w:hAnsi="Garamond"/>
          <w:sz w:val="24"/>
          <w:szCs w:val="24"/>
          <w:lang w:val="en-US"/>
        </w:rPr>
        <w:t xml:space="preserve">. Subsequently, the state, through the </w:t>
      </w:r>
      <w:r w:rsidR="003B3A84" w:rsidRPr="00D56AF5">
        <w:rPr>
          <w:rFonts w:ascii="Garamond" w:hAnsi="Garamond"/>
          <w:sz w:val="24"/>
          <w:szCs w:val="24"/>
          <w:lang w:val="en-US"/>
        </w:rPr>
        <w:t xml:space="preserve">juristic concept of </w:t>
      </w:r>
      <w:r w:rsidR="00B45B70" w:rsidRPr="00D56AF5">
        <w:rPr>
          <w:rFonts w:ascii="Garamond" w:hAnsi="Garamond"/>
          <w:sz w:val="24"/>
          <w:szCs w:val="24"/>
          <w:lang w:val="en-US"/>
        </w:rPr>
        <w:t xml:space="preserve">external </w:t>
      </w:r>
      <w:r w:rsidR="003B3A84" w:rsidRPr="00D56AF5">
        <w:rPr>
          <w:rFonts w:ascii="Garamond" w:hAnsi="Garamond"/>
          <w:sz w:val="24"/>
          <w:szCs w:val="24"/>
          <w:lang w:val="en-US"/>
        </w:rPr>
        <w:t>sovereignty</w:t>
      </w:r>
      <w:r w:rsidR="0015379A" w:rsidRPr="00D56AF5">
        <w:rPr>
          <w:rFonts w:ascii="Garamond" w:hAnsi="Garamond"/>
          <w:sz w:val="24"/>
          <w:szCs w:val="24"/>
          <w:lang w:val="en-US"/>
        </w:rPr>
        <w:t xml:space="preserve">, performs a continuous ontological function in re-defining </w:t>
      </w:r>
      <w:r w:rsidR="003B3A84" w:rsidRPr="00D56AF5">
        <w:rPr>
          <w:rFonts w:ascii="Garamond" w:hAnsi="Garamond"/>
          <w:sz w:val="24"/>
          <w:szCs w:val="24"/>
          <w:lang w:val="en-US"/>
        </w:rPr>
        <w:t>political communities</w:t>
      </w:r>
      <w:r w:rsidR="00B45B70" w:rsidRPr="00D56AF5">
        <w:rPr>
          <w:rFonts w:ascii="Garamond" w:hAnsi="Garamond"/>
          <w:sz w:val="24"/>
          <w:szCs w:val="24"/>
          <w:lang w:val="en-US"/>
        </w:rPr>
        <w:t>,</w:t>
      </w:r>
      <w:r w:rsidR="003B3A84" w:rsidRPr="00D56AF5">
        <w:rPr>
          <w:rStyle w:val="FootnoteReference"/>
          <w:rFonts w:ascii="Garamond" w:hAnsi="Garamond"/>
          <w:sz w:val="24"/>
          <w:szCs w:val="24"/>
          <w:lang w:val="en-US"/>
        </w:rPr>
        <w:footnoteReference w:id="43"/>
      </w:r>
      <w:r w:rsidR="00072411" w:rsidRPr="00D56AF5">
        <w:rPr>
          <w:rFonts w:ascii="Garamond" w:hAnsi="Garamond"/>
          <w:sz w:val="24"/>
          <w:szCs w:val="24"/>
          <w:lang w:val="en-US"/>
        </w:rPr>
        <w:t xml:space="preserve"> </w:t>
      </w:r>
      <w:r w:rsidR="00B45B70" w:rsidRPr="00D56AF5">
        <w:rPr>
          <w:rFonts w:ascii="Garamond" w:hAnsi="Garamond"/>
          <w:sz w:val="24"/>
          <w:szCs w:val="24"/>
          <w:lang w:val="en-US"/>
        </w:rPr>
        <w:t xml:space="preserve">and </w:t>
      </w:r>
      <w:r w:rsidR="003B3A84" w:rsidRPr="00D56AF5">
        <w:rPr>
          <w:rFonts w:ascii="Garamond" w:hAnsi="Garamond"/>
          <w:sz w:val="24"/>
          <w:szCs w:val="24"/>
          <w:lang w:val="en-US"/>
        </w:rPr>
        <w:t>create</w:t>
      </w:r>
      <w:r w:rsidR="00B45B70" w:rsidRPr="00D56AF5">
        <w:rPr>
          <w:rFonts w:ascii="Garamond" w:hAnsi="Garamond"/>
          <w:sz w:val="24"/>
          <w:szCs w:val="24"/>
          <w:lang w:val="en-US"/>
        </w:rPr>
        <w:t>s</w:t>
      </w:r>
      <w:r w:rsidR="003B3A84" w:rsidRPr="00D56AF5">
        <w:rPr>
          <w:rFonts w:ascii="Garamond" w:hAnsi="Garamond"/>
          <w:sz w:val="24"/>
          <w:szCs w:val="24"/>
          <w:lang w:val="en-US"/>
        </w:rPr>
        <w:t xml:space="preserve"> further rules of international law which multiply, channel, and limit sovereign powers. </w:t>
      </w:r>
      <w:r w:rsidR="008A6128">
        <w:rPr>
          <w:rFonts w:ascii="Garamond" w:hAnsi="Garamond"/>
          <w:sz w:val="24"/>
          <w:szCs w:val="24"/>
          <w:lang w:val="en-US"/>
        </w:rPr>
        <w:t>For this reason,</w:t>
      </w:r>
      <w:r w:rsidR="003B3A84" w:rsidRPr="00D56AF5">
        <w:rPr>
          <w:rFonts w:ascii="Garamond" w:hAnsi="Garamond"/>
          <w:sz w:val="24"/>
          <w:szCs w:val="24"/>
          <w:lang w:val="en-US"/>
        </w:rPr>
        <w:t xml:space="preserve"> </w:t>
      </w:r>
      <w:r w:rsidR="00D5186F">
        <w:rPr>
          <w:rFonts w:ascii="Garamond" w:hAnsi="Garamond"/>
          <w:sz w:val="24"/>
          <w:szCs w:val="24"/>
          <w:lang w:val="en-US"/>
        </w:rPr>
        <w:t xml:space="preserve">external </w:t>
      </w:r>
      <w:r w:rsidR="003B3A84" w:rsidRPr="00D56AF5">
        <w:rPr>
          <w:rFonts w:ascii="Garamond" w:hAnsi="Garamond"/>
          <w:sz w:val="24"/>
          <w:szCs w:val="24"/>
          <w:lang w:val="en-US"/>
        </w:rPr>
        <w:t xml:space="preserve">sovereignty </w:t>
      </w:r>
      <w:r w:rsidR="00D5186F">
        <w:rPr>
          <w:rFonts w:ascii="Garamond" w:hAnsi="Garamond"/>
          <w:sz w:val="24"/>
          <w:szCs w:val="24"/>
          <w:lang w:val="en-US"/>
        </w:rPr>
        <w:t>has</w:t>
      </w:r>
      <w:r w:rsidR="00FC6293">
        <w:rPr>
          <w:rFonts w:ascii="Garamond" w:hAnsi="Garamond"/>
          <w:sz w:val="24"/>
          <w:szCs w:val="24"/>
          <w:lang w:val="en-US"/>
        </w:rPr>
        <w:t xml:space="preserve"> </w:t>
      </w:r>
      <w:r w:rsidR="005A01B9" w:rsidRPr="00D56AF5">
        <w:rPr>
          <w:rFonts w:ascii="Garamond" w:hAnsi="Garamond"/>
          <w:sz w:val="24"/>
          <w:szCs w:val="24"/>
          <w:lang w:val="en-US"/>
        </w:rPr>
        <w:t xml:space="preserve">both </w:t>
      </w:r>
      <w:r w:rsidR="003B3A84" w:rsidRPr="00D56AF5">
        <w:rPr>
          <w:rFonts w:ascii="Garamond" w:hAnsi="Garamond"/>
          <w:sz w:val="24"/>
          <w:szCs w:val="24"/>
          <w:lang w:val="en-US"/>
        </w:rPr>
        <w:t xml:space="preserve">political and legal </w:t>
      </w:r>
      <w:r w:rsidR="00FC6293">
        <w:rPr>
          <w:rFonts w:ascii="Garamond" w:hAnsi="Garamond"/>
          <w:sz w:val="24"/>
          <w:szCs w:val="24"/>
          <w:lang w:val="en-US"/>
        </w:rPr>
        <w:t>dimensions</w:t>
      </w:r>
      <w:r w:rsidR="003B3A84" w:rsidRPr="00D56AF5">
        <w:rPr>
          <w:rStyle w:val="FootnoteReference"/>
          <w:rFonts w:ascii="Garamond" w:hAnsi="Garamond"/>
          <w:sz w:val="24"/>
          <w:szCs w:val="24"/>
          <w:lang w:val="en-US"/>
        </w:rPr>
        <w:footnoteReference w:id="44"/>
      </w:r>
      <w:r w:rsidR="00D5186F">
        <w:rPr>
          <w:rFonts w:ascii="Garamond" w:hAnsi="Garamond"/>
          <w:sz w:val="24"/>
          <w:szCs w:val="24"/>
          <w:lang w:val="en-US"/>
        </w:rPr>
        <w:t xml:space="preserve"> and </w:t>
      </w:r>
      <w:r w:rsidR="00D5186F" w:rsidRPr="00D56AF5">
        <w:rPr>
          <w:rFonts w:ascii="Garamond" w:hAnsi="Garamond"/>
          <w:sz w:val="24"/>
          <w:szCs w:val="24"/>
          <w:lang w:val="en-US"/>
        </w:rPr>
        <w:t>may be conceived</w:t>
      </w:r>
      <w:r w:rsidR="00D5186F">
        <w:rPr>
          <w:rFonts w:ascii="Garamond" w:hAnsi="Garamond"/>
          <w:sz w:val="24"/>
          <w:szCs w:val="24"/>
          <w:lang w:val="en-US"/>
        </w:rPr>
        <w:t xml:space="preserve"> of</w:t>
      </w:r>
      <w:r w:rsidR="00D5186F" w:rsidRPr="00D56AF5">
        <w:rPr>
          <w:rFonts w:ascii="Garamond" w:hAnsi="Garamond"/>
          <w:sz w:val="24"/>
          <w:szCs w:val="24"/>
          <w:lang w:val="en-US"/>
        </w:rPr>
        <w:t xml:space="preserve"> as a juristic conduit to the political domain</w:t>
      </w:r>
      <w:r w:rsidR="00D5186F">
        <w:rPr>
          <w:rFonts w:ascii="Garamond" w:hAnsi="Garamond"/>
          <w:sz w:val="24"/>
          <w:szCs w:val="24"/>
          <w:lang w:val="en-US"/>
        </w:rPr>
        <w:t>.</w:t>
      </w:r>
    </w:p>
    <w:p w14:paraId="7DFC0299" w14:textId="47BB724F" w:rsidR="002B2B57" w:rsidRPr="002B2B57" w:rsidRDefault="002B2B57" w:rsidP="00B679CD">
      <w:pPr>
        <w:pStyle w:val="Heading3"/>
        <w:numPr>
          <w:ilvl w:val="2"/>
          <w:numId w:val="35"/>
        </w:numPr>
        <w:rPr>
          <w:lang w:val="en-US"/>
        </w:rPr>
      </w:pPr>
      <w:bookmarkStart w:id="8" w:name="_Toc191740725"/>
      <w:r w:rsidRPr="002B2B57">
        <w:rPr>
          <w:lang w:val="en-US"/>
        </w:rPr>
        <w:t>Sovereignty is an institutional concept</w:t>
      </w:r>
      <w:bookmarkEnd w:id="8"/>
      <w:r w:rsidRPr="002B2B57">
        <w:rPr>
          <w:lang w:val="en-US"/>
        </w:rPr>
        <w:t xml:space="preserve"> </w:t>
      </w:r>
    </w:p>
    <w:p w14:paraId="4A69C4EC" w14:textId="21DE390E" w:rsidR="00896F59" w:rsidRPr="00D56AF5" w:rsidRDefault="002B2B57" w:rsidP="001340AF">
      <w:pPr>
        <w:spacing w:after="120" w:line="480" w:lineRule="auto"/>
        <w:jc w:val="both"/>
        <w:rPr>
          <w:rFonts w:ascii="Garamond" w:hAnsi="Garamond"/>
          <w:sz w:val="24"/>
          <w:szCs w:val="24"/>
          <w:lang w:val="en-US"/>
        </w:rPr>
      </w:pPr>
      <w:r>
        <w:rPr>
          <w:rFonts w:ascii="Garamond" w:hAnsi="Garamond"/>
          <w:sz w:val="24"/>
          <w:szCs w:val="24"/>
          <w:lang w:val="en-US"/>
        </w:rPr>
        <w:t>E</w:t>
      </w:r>
      <w:r w:rsidR="0002254A" w:rsidRPr="00D56AF5">
        <w:rPr>
          <w:rFonts w:ascii="Garamond" w:hAnsi="Garamond"/>
          <w:sz w:val="24"/>
          <w:szCs w:val="24"/>
          <w:lang w:val="en-US"/>
        </w:rPr>
        <w:t xml:space="preserve">xternal </w:t>
      </w:r>
      <w:r w:rsidR="008C733C" w:rsidRPr="00D56AF5">
        <w:rPr>
          <w:rFonts w:ascii="Garamond" w:hAnsi="Garamond"/>
          <w:sz w:val="24"/>
          <w:szCs w:val="24"/>
          <w:lang w:val="en-US"/>
        </w:rPr>
        <w:t>sovereignty</w:t>
      </w:r>
      <w:r w:rsidR="001A111C">
        <w:rPr>
          <w:rFonts w:ascii="Garamond" w:hAnsi="Garamond"/>
          <w:sz w:val="24"/>
          <w:szCs w:val="24"/>
          <w:lang w:val="en-US"/>
        </w:rPr>
        <w:t>, being</w:t>
      </w:r>
      <w:r w:rsidR="001A111C" w:rsidRPr="00D56AF5">
        <w:rPr>
          <w:rFonts w:ascii="Garamond" w:hAnsi="Garamond"/>
          <w:sz w:val="24"/>
          <w:szCs w:val="24"/>
          <w:lang w:val="en-US"/>
        </w:rPr>
        <w:t xml:space="preserve"> </w:t>
      </w:r>
      <w:r w:rsidR="001A111C">
        <w:rPr>
          <w:rFonts w:ascii="Garamond" w:hAnsi="Garamond"/>
          <w:sz w:val="24"/>
          <w:szCs w:val="24"/>
          <w:lang w:val="en-US"/>
        </w:rPr>
        <w:t xml:space="preserve">a </w:t>
      </w:r>
      <w:r w:rsidR="001A111C" w:rsidRPr="00D56AF5">
        <w:rPr>
          <w:rFonts w:ascii="Garamond" w:hAnsi="Garamond"/>
          <w:sz w:val="24"/>
          <w:szCs w:val="24"/>
          <w:lang w:val="en-US"/>
        </w:rPr>
        <w:t>legally constituted</w:t>
      </w:r>
      <w:r w:rsidR="001A111C">
        <w:rPr>
          <w:rFonts w:ascii="Garamond" w:hAnsi="Garamond"/>
          <w:sz w:val="24"/>
          <w:szCs w:val="24"/>
          <w:lang w:val="en-US"/>
        </w:rPr>
        <w:t xml:space="preserve"> status,</w:t>
      </w:r>
      <w:r w:rsidR="008C733C" w:rsidRPr="00D56AF5">
        <w:rPr>
          <w:rFonts w:ascii="Garamond" w:hAnsi="Garamond"/>
          <w:sz w:val="24"/>
          <w:szCs w:val="24"/>
          <w:lang w:val="en-US"/>
        </w:rPr>
        <w:t xml:space="preserve"> is </w:t>
      </w:r>
      <w:r w:rsidR="002825B8" w:rsidRPr="00D56AF5">
        <w:rPr>
          <w:rFonts w:ascii="Garamond" w:hAnsi="Garamond"/>
          <w:sz w:val="24"/>
          <w:szCs w:val="24"/>
          <w:lang w:val="en-US"/>
        </w:rPr>
        <w:t xml:space="preserve">an </w:t>
      </w:r>
      <w:r w:rsidR="00C055C8" w:rsidRPr="00D56AF5">
        <w:rPr>
          <w:rFonts w:ascii="Garamond" w:hAnsi="Garamond"/>
          <w:sz w:val="24"/>
          <w:szCs w:val="24"/>
          <w:lang w:val="en-US"/>
        </w:rPr>
        <w:t>inherently institutional</w:t>
      </w:r>
      <w:r w:rsidR="00491062" w:rsidRPr="00D56AF5">
        <w:rPr>
          <w:rFonts w:ascii="Garamond" w:hAnsi="Garamond"/>
          <w:sz w:val="24"/>
          <w:szCs w:val="24"/>
          <w:lang w:val="en-US"/>
        </w:rPr>
        <w:t xml:space="preserve"> </w:t>
      </w:r>
      <w:r w:rsidR="002825B8" w:rsidRPr="00D56AF5">
        <w:rPr>
          <w:rFonts w:ascii="Garamond" w:hAnsi="Garamond"/>
          <w:sz w:val="24"/>
          <w:szCs w:val="24"/>
          <w:lang w:val="en-US"/>
        </w:rPr>
        <w:t>concept</w:t>
      </w:r>
      <w:r w:rsidR="006D1831" w:rsidRPr="00D56AF5">
        <w:rPr>
          <w:rFonts w:ascii="Garamond" w:hAnsi="Garamond"/>
          <w:sz w:val="24"/>
          <w:szCs w:val="24"/>
          <w:lang w:val="en-US"/>
        </w:rPr>
        <w:t xml:space="preserve">. </w:t>
      </w:r>
      <w:r w:rsidR="000E2E67">
        <w:rPr>
          <w:rFonts w:ascii="Garamond" w:hAnsi="Garamond"/>
          <w:sz w:val="24"/>
          <w:szCs w:val="24"/>
          <w:lang w:val="en-US"/>
        </w:rPr>
        <w:t>S</w:t>
      </w:r>
      <w:r w:rsidR="006D1831" w:rsidRPr="00D56AF5">
        <w:rPr>
          <w:rFonts w:ascii="Garamond" w:hAnsi="Garamond"/>
          <w:sz w:val="24"/>
          <w:szCs w:val="24"/>
          <w:lang w:val="en-US"/>
        </w:rPr>
        <w:t>overeignty</w:t>
      </w:r>
      <w:r w:rsidR="00923F29">
        <w:rPr>
          <w:rFonts w:ascii="Garamond" w:hAnsi="Garamond"/>
          <w:sz w:val="24"/>
          <w:szCs w:val="24"/>
          <w:lang w:val="en-US"/>
        </w:rPr>
        <w:t xml:space="preserve"> as </w:t>
      </w:r>
      <w:r w:rsidR="006D1831" w:rsidRPr="00D56AF5">
        <w:rPr>
          <w:rFonts w:ascii="Garamond" w:hAnsi="Garamond"/>
          <w:sz w:val="24"/>
          <w:szCs w:val="24"/>
          <w:lang w:val="en-US"/>
        </w:rPr>
        <w:t>a legal status</w:t>
      </w:r>
      <w:r w:rsidR="00923F29">
        <w:rPr>
          <w:rFonts w:ascii="Garamond" w:hAnsi="Garamond"/>
          <w:sz w:val="24"/>
          <w:szCs w:val="24"/>
          <w:lang w:val="en-US"/>
        </w:rPr>
        <w:t xml:space="preserve"> i</w:t>
      </w:r>
      <w:r w:rsidR="001A111C">
        <w:rPr>
          <w:rFonts w:ascii="Garamond" w:hAnsi="Garamond"/>
          <w:sz w:val="24"/>
          <w:szCs w:val="24"/>
          <w:lang w:val="en-US"/>
        </w:rPr>
        <w:t>mplies that it is</w:t>
      </w:r>
      <w:r w:rsidR="006D1831" w:rsidRPr="00D56AF5">
        <w:rPr>
          <w:rFonts w:ascii="Garamond" w:hAnsi="Garamond"/>
          <w:sz w:val="24"/>
          <w:szCs w:val="24"/>
          <w:lang w:val="en-US"/>
        </w:rPr>
        <w:t xml:space="preserve"> conceptually separable from the legal rules and consequences which flow from it.</w:t>
      </w:r>
      <w:r w:rsidR="006D1831" w:rsidRPr="00D56AF5">
        <w:rPr>
          <w:rStyle w:val="FootnoteReference"/>
          <w:rFonts w:ascii="Garamond" w:hAnsi="Garamond"/>
          <w:sz w:val="24"/>
          <w:szCs w:val="24"/>
          <w:lang w:val="en-US"/>
        </w:rPr>
        <w:footnoteReference w:id="45"/>
      </w:r>
      <w:r w:rsidR="006D1831" w:rsidRPr="00D56AF5">
        <w:rPr>
          <w:rFonts w:ascii="Garamond" w:hAnsi="Garamond"/>
          <w:sz w:val="24"/>
          <w:szCs w:val="24"/>
          <w:lang w:val="en-US"/>
        </w:rPr>
        <w:t xml:space="preserve"> Legal rules may stipulate entry and exit conditions for sovereign status, such as the proposition that only entities which have met the legal criteria of </w:t>
      </w:r>
      <w:r w:rsidR="006D1831" w:rsidRPr="00D56AF5">
        <w:rPr>
          <w:rFonts w:ascii="Garamond" w:hAnsi="Garamond"/>
          <w:sz w:val="24"/>
          <w:szCs w:val="24"/>
          <w:lang w:val="en-US"/>
        </w:rPr>
        <w:lastRenderedPageBreak/>
        <w:t>statehood under international law can acquire de jure sovereignty.</w:t>
      </w:r>
      <w:r w:rsidR="006D1831" w:rsidRPr="00D56AF5">
        <w:rPr>
          <w:rStyle w:val="FootnoteReference"/>
          <w:rFonts w:ascii="Garamond" w:hAnsi="Garamond"/>
          <w:sz w:val="24"/>
          <w:szCs w:val="24"/>
          <w:lang w:val="en-US"/>
        </w:rPr>
        <w:footnoteReference w:id="46"/>
      </w:r>
      <w:r w:rsidR="006D1831" w:rsidRPr="00D56AF5">
        <w:rPr>
          <w:rFonts w:ascii="Garamond" w:hAnsi="Garamond"/>
          <w:sz w:val="24"/>
          <w:szCs w:val="24"/>
          <w:lang w:val="en-US"/>
        </w:rPr>
        <w:t xml:space="preserve"> Legal consequences are the competences, permissions, duties and obligations, which flow from sovereignty, like the power to enter into international agreements and to exercise sovereign functions on a state’s territory, and the duty of non-intervention in the internal affairs of other states.</w:t>
      </w:r>
      <w:r w:rsidR="006D1831" w:rsidRPr="00D56AF5">
        <w:rPr>
          <w:rStyle w:val="FootnoteReference"/>
          <w:rFonts w:ascii="Garamond" w:hAnsi="Garamond"/>
          <w:sz w:val="24"/>
          <w:szCs w:val="24"/>
          <w:lang w:val="en-US"/>
        </w:rPr>
        <w:footnoteReference w:id="47"/>
      </w:r>
      <w:r w:rsidR="000774B2" w:rsidRPr="00D56AF5">
        <w:rPr>
          <w:rFonts w:ascii="Garamond" w:hAnsi="Garamond"/>
          <w:sz w:val="24"/>
          <w:szCs w:val="24"/>
          <w:lang w:val="en-US"/>
        </w:rPr>
        <w:t xml:space="preserve"> </w:t>
      </w:r>
      <w:r w:rsidR="001A111C">
        <w:rPr>
          <w:rFonts w:ascii="Garamond" w:hAnsi="Garamond"/>
          <w:sz w:val="24"/>
          <w:szCs w:val="24"/>
          <w:lang w:val="en-US"/>
        </w:rPr>
        <w:t xml:space="preserve">Further, the </w:t>
      </w:r>
      <w:r w:rsidR="00150546" w:rsidRPr="00D56AF5">
        <w:rPr>
          <w:rFonts w:ascii="Garamond" w:hAnsi="Garamond"/>
          <w:sz w:val="24"/>
          <w:szCs w:val="24"/>
          <w:lang w:val="en-US"/>
        </w:rPr>
        <w:t>post-World War system governed by the UN Charter is</w:t>
      </w:r>
      <w:r w:rsidR="00323F52" w:rsidRPr="00D56AF5">
        <w:rPr>
          <w:rFonts w:ascii="Garamond" w:hAnsi="Garamond"/>
          <w:sz w:val="24"/>
          <w:szCs w:val="24"/>
          <w:lang w:val="en-US"/>
        </w:rPr>
        <w:t xml:space="preserve"> </w:t>
      </w:r>
      <w:r w:rsidR="00B817BF" w:rsidRPr="00D56AF5">
        <w:rPr>
          <w:rFonts w:ascii="Garamond" w:hAnsi="Garamond"/>
          <w:sz w:val="24"/>
          <w:szCs w:val="24"/>
          <w:lang w:val="en-US"/>
        </w:rPr>
        <w:t>constructed on a</w:t>
      </w:r>
      <w:r w:rsidR="005643B1">
        <w:rPr>
          <w:rFonts w:ascii="Garamond" w:hAnsi="Garamond"/>
          <w:sz w:val="24"/>
          <w:szCs w:val="24"/>
          <w:lang w:val="en-US"/>
        </w:rPr>
        <w:t xml:space="preserve"> </w:t>
      </w:r>
      <w:r w:rsidR="00B817BF" w:rsidRPr="00D56AF5">
        <w:rPr>
          <w:rFonts w:ascii="Garamond" w:hAnsi="Garamond"/>
          <w:sz w:val="24"/>
          <w:szCs w:val="24"/>
          <w:lang w:val="en-US"/>
        </w:rPr>
        <w:t>relational community of states</w:t>
      </w:r>
      <w:r w:rsidR="0024766A" w:rsidRPr="00D56AF5">
        <w:rPr>
          <w:rFonts w:ascii="Garamond" w:hAnsi="Garamond"/>
          <w:sz w:val="24"/>
          <w:szCs w:val="24"/>
          <w:lang w:val="en-US"/>
        </w:rPr>
        <w:t xml:space="preserve">, </w:t>
      </w:r>
      <w:r w:rsidR="001A111C">
        <w:rPr>
          <w:rFonts w:ascii="Garamond" w:hAnsi="Garamond"/>
          <w:sz w:val="24"/>
          <w:szCs w:val="24"/>
          <w:lang w:val="en-US"/>
        </w:rPr>
        <w:t xml:space="preserve">where </w:t>
      </w:r>
      <w:r w:rsidR="008573F2" w:rsidRPr="00D56AF5">
        <w:rPr>
          <w:rFonts w:ascii="Garamond" w:hAnsi="Garamond"/>
          <w:sz w:val="24"/>
          <w:szCs w:val="24"/>
          <w:lang w:val="en-US"/>
        </w:rPr>
        <w:t xml:space="preserve">the </w:t>
      </w:r>
      <w:r w:rsidR="004969A9">
        <w:rPr>
          <w:rFonts w:ascii="Garamond" w:hAnsi="Garamond"/>
          <w:sz w:val="24"/>
          <w:szCs w:val="24"/>
          <w:lang w:val="en-US"/>
        </w:rPr>
        <w:t>effectiveness</w:t>
      </w:r>
      <w:r w:rsidR="008573F2" w:rsidRPr="00D56AF5">
        <w:rPr>
          <w:rFonts w:ascii="Garamond" w:hAnsi="Garamond"/>
          <w:sz w:val="24"/>
          <w:szCs w:val="24"/>
          <w:lang w:val="en-US"/>
        </w:rPr>
        <w:t xml:space="preserve"> of external sovereignty or</w:t>
      </w:r>
      <w:r w:rsidR="0024766A" w:rsidRPr="00D56AF5">
        <w:rPr>
          <w:rFonts w:ascii="Garamond" w:hAnsi="Garamond"/>
          <w:sz w:val="24"/>
          <w:szCs w:val="24"/>
          <w:lang w:val="en-US"/>
        </w:rPr>
        <w:t xml:space="preserve"> </w:t>
      </w:r>
      <w:r w:rsidR="00042BDF" w:rsidRPr="00D56AF5">
        <w:rPr>
          <w:rFonts w:ascii="Garamond" w:hAnsi="Garamond"/>
          <w:sz w:val="24"/>
          <w:szCs w:val="24"/>
          <w:lang w:val="en-US"/>
        </w:rPr>
        <w:t>‘sovereign equality’</w:t>
      </w:r>
      <w:r w:rsidR="0024766A" w:rsidRPr="00D56AF5">
        <w:rPr>
          <w:rFonts w:ascii="Garamond" w:hAnsi="Garamond"/>
          <w:sz w:val="24"/>
          <w:szCs w:val="24"/>
          <w:lang w:val="en-US"/>
        </w:rPr>
        <w:t xml:space="preserve"> i</w:t>
      </w:r>
      <w:r w:rsidR="00F928C2" w:rsidRPr="00D56AF5">
        <w:rPr>
          <w:rFonts w:ascii="Garamond" w:hAnsi="Garamond"/>
          <w:sz w:val="24"/>
          <w:szCs w:val="24"/>
          <w:lang w:val="en-US"/>
        </w:rPr>
        <w:t xml:space="preserve">s contingent on </w:t>
      </w:r>
      <w:r w:rsidR="00C660D9" w:rsidRPr="00D56AF5">
        <w:rPr>
          <w:rFonts w:ascii="Garamond" w:hAnsi="Garamond"/>
          <w:sz w:val="24"/>
          <w:szCs w:val="24"/>
          <w:lang w:val="en-US"/>
        </w:rPr>
        <w:t>international</w:t>
      </w:r>
      <w:r w:rsidR="00F928C2" w:rsidRPr="00D56AF5">
        <w:rPr>
          <w:rFonts w:ascii="Garamond" w:hAnsi="Garamond"/>
          <w:sz w:val="24"/>
          <w:szCs w:val="24"/>
          <w:lang w:val="en-US"/>
        </w:rPr>
        <w:t xml:space="preserve"> recognition</w:t>
      </w:r>
      <w:r w:rsidR="00692C39" w:rsidRPr="00D56AF5">
        <w:rPr>
          <w:rFonts w:ascii="Garamond" w:hAnsi="Garamond"/>
          <w:sz w:val="24"/>
          <w:szCs w:val="24"/>
          <w:lang w:val="en-US"/>
        </w:rPr>
        <w:t>.</w:t>
      </w:r>
      <w:r w:rsidR="00692C39" w:rsidRPr="00D56AF5">
        <w:rPr>
          <w:rStyle w:val="FootnoteReference"/>
          <w:rFonts w:ascii="Garamond" w:hAnsi="Garamond"/>
          <w:sz w:val="24"/>
          <w:szCs w:val="24"/>
          <w:lang w:val="en-US"/>
        </w:rPr>
        <w:footnoteReference w:id="48"/>
      </w:r>
      <w:r w:rsidR="002D5AC1" w:rsidRPr="00D56AF5">
        <w:rPr>
          <w:rFonts w:ascii="Garamond" w:hAnsi="Garamond"/>
          <w:sz w:val="24"/>
          <w:szCs w:val="24"/>
          <w:lang w:val="en-US"/>
        </w:rPr>
        <w:t xml:space="preserve"> </w:t>
      </w:r>
      <w:r w:rsidR="002603B9">
        <w:rPr>
          <w:rFonts w:ascii="Garamond" w:hAnsi="Garamond"/>
          <w:sz w:val="24"/>
          <w:szCs w:val="24"/>
          <w:lang w:val="en-US"/>
        </w:rPr>
        <w:t>Th</w:t>
      </w:r>
      <w:r w:rsidR="00520DA4">
        <w:rPr>
          <w:rFonts w:ascii="Garamond" w:hAnsi="Garamond"/>
          <w:sz w:val="24"/>
          <w:szCs w:val="24"/>
          <w:lang w:val="en-US"/>
        </w:rPr>
        <w:t>us</w:t>
      </w:r>
      <w:r w:rsidR="00D37042" w:rsidRPr="00D56AF5">
        <w:rPr>
          <w:rFonts w:ascii="Garamond" w:hAnsi="Garamond"/>
          <w:sz w:val="24"/>
          <w:szCs w:val="24"/>
          <w:lang w:val="en-US"/>
        </w:rPr>
        <w:t xml:space="preserve">, sovereignty is </w:t>
      </w:r>
      <w:r w:rsidR="00DA7535">
        <w:rPr>
          <w:rFonts w:ascii="Garamond" w:hAnsi="Garamond"/>
          <w:sz w:val="24"/>
          <w:szCs w:val="24"/>
          <w:lang w:val="en-US"/>
        </w:rPr>
        <w:t xml:space="preserve">the </w:t>
      </w:r>
      <w:r w:rsidR="00C13B7D">
        <w:rPr>
          <w:rFonts w:ascii="Garamond" w:hAnsi="Garamond"/>
          <w:sz w:val="24"/>
          <w:szCs w:val="24"/>
          <w:lang w:val="en-US"/>
        </w:rPr>
        <w:t xml:space="preserve">legal status of </w:t>
      </w:r>
      <w:r w:rsidR="00C13B7D" w:rsidRPr="00D56AF5">
        <w:rPr>
          <w:rFonts w:ascii="Garamond" w:hAnsi="Garamond"/>
          <w:sz w:val="24"/>
          <w:szCs w:val="24"/>
          <w:lang w:val="en-US"/>
        </w:rPr>
        <w:t xml:space="preserve">rightful </w:t>
      </w:r>
      <w:r w:rsidR="004A198F">
        <w:rPr>
          <w:rFonts w:ascii="Garamond" w:hAnsi="Garamond"/>
          <w:sz w:val="24"/>
          <w:szCs w:val="24"/>
          <w:lang w:val="en-US"/>
        </w:rPr>
        <w:t xml:space="preserve">power and </w:t>
      </w:r>
      <w:r w:rsidR="00C13B7D" w:rsidRPr="00D56AF5">
        <w:rPr>
          <w:rFonts w:ascii="Garamond" w:hAnsi="Garamond"/>
          <w:sz w:val="24"/>
          <w:szCs w:val="24"/>
          <w:lang w:val="en-US"/>
        </w:rPr>
        <w:t>authority</w:t>
      </w:r>
      <w:r w:rsidR="00DA7535">
        <w:rPr>
          <w:rFonts w:ascii="Garamond" w:hAnsi="Garamond"/>
          <w:sz w:val="24"/>
          <w:szCs w:val="24"/>
          <w:lang w:val="en-US"/>
        </w:rPr>
        <w:t xml:space="preserve"> held</w:t>
      </w:r>
      <w:r w:rsidR="004A198F">
        <w:rPr>
          <w:rFonts w:ascii="Garamond" w:hAnsi="Garamond"/>
          <w:sz w:val="24"/>
          <w:szCs w:val="24"/>
          <w:lang w:val="en-US"/>
        </w:rPr>
        <w:t xml:space="preserve"> </w:t>
      </w:r>
      <w:r w:rsidR="00DA7535">
        <w:rPr>
          <w:rFonts w:ascii="Garamond" w:hAnsi="Garamond"/>
          <w:sz w:val="24"/>
          <w:szCs w:val="24"/>
          <w:lang w:val="en-US"/>
        </w:rPr>
        <w:t xml:space="preserve">by a </w:t>
      </w:r>
      <w:r w:rsidR="00F66871" w:rsidRPr="00D56AF5">
        <w:rPr>
          <w:rFonts w:ascii="Garamond" w:hAnsi="Garamond"/>
          <w:sz w:val="24"/>
          <w:szCs w:val="24"/>
          <w:lang w:val="en-US"/>
        </w:rPr>
        <w:t>state</w:t>
      </w:r>
      <w:r w:rsidR="00F30463">
        <w:rPr>
          <w:rFonts w:ascii="Garamond" w:hAnsi="Garamond"/>
          <w:sz w:val="24"/>
          <w:szCs w:val="24"/>
          <w:lang w:val="en-US"/>
        </w:rPr>
        <w:t xml:space="preserve"> that is</w:t>
      </w:r>
      <w:r w:rsidR="004A198F">
        <w:rPr>
          <w:rFonts w:ascii="Garamond" w:hAnsi="Garamond"/>
          <w:sz w:val="24"/>
          <w:szCs w:val="24"/>
          <w:lang w:val="en-US"/>
        </w:rPr>
        <w:t xml:space="preserve"> </w:t>
      </w:r>
      <w:r w:rsidR="00DA7535">
        <w:rPr>
          <w:rFonts w:ascii="Garamond" w:hAnsi="Garamond"/>
          <w:sz w:val="24"/>
          <w:szCs w:val="24"/>
          <w:lang w:val="en-US"/>
        </w:rPr>
        <w:t xml:space="preserve">recognized </w:t>
      </w:r>
      <w:r w:rsidR="004A198F">
        <w:rPr>
          <w:rFonts w:ascii="Garamond" w:hAnsi="Garamond"/>
          <w:sz w:val="24"/>
          <w:szCs w:val="24"/>
          <w:lang w:val="en-US"/>
        </w:rPr>
        <w:t>under international law</w:t>
      </w:r>
      <w:r w:rsidR="00F66871" w:rsidRPr="00D56AF5">
        <w:rPr>
          <w:rFonts w:ascii="Garamond" w:hAnsi="Garamond"/>
          <w:sz w:val="24"/>
          <w:szCs w:val="24"/>
          <w:lang w:val="en-US"/>
        </w:rPr>
        <w:t xml:space="preserve">. </w:t>
      </w:r>
    </w:p>
    <w:p w14:paraId="4AAA9D82" w14:textId="01DD1C9E" w:rsidR="00896F59" w:rsidRDefault="00896F59" w:rsidP="00B679CD">
      <w:pPr>
        <w:pStyle w:val="Heading3"/>
        <w:numPr>
          <w:ilvl w:val="2"/>
          <w:numId w:val="35"/>
        </w:numPr>
        <w:rPr>
          <w:lang w:val="en-US"/>
        </w:rPr>
      </w:pPr>
      <w:bookmarkStart w:id="9" w:name="_Toc191740726"/>
      <w:r>
        <w:rPr>
          <w:lang w:val="en-US"/>
        </w:rPr>
        <w:t>External sovereignty is a normative concept</w:t>
      </w:r>
      <w:bookmarkEnd w:id="9"/>
      <w:r>
        <w:rPr>
          <w:lang w:val="en-US"/>
        </w:rPr>
        <w:t xml:space="preserve"> </w:t>
      </w:r>
    </w:p>
    <w:p w14:paraId="22E4DF7F" w14:textId="6CF80DFC" w:rsidR="00911932" w:rsidRPr="00D56AF5" w:rsidRDefault="00896F59" w:rsidP="001340AF">
      <w:pPr>
        <w:spacing w:after="120" w:line="480" w:lineRule="auto"/>
        <w:jc w:val="both"/>
        <w:rPr>
          <w:rFonts w:ascii="Garamond" w:hAnsi="Garamond"/>
          <w:sz w:val="24"/>
          <w:szCs w:val="24"/>
          <w:lang w:val="en-US"/>
        </w:rPr>
      </w:pPr>
      <w:r w:rsidRPr="00896F59">
        <w:rPr>
          <w:rFonts w:ascii="Garamond" w:hAnsi="Garamond"/>
          <w:sz w:val="24"/>
          <w:szCs w:val="24"/>
          <w:lang w:val="en-US"/>
        </w:rPr>
        <w:t>Being</w:t>
      </w:r>
      <w:r w:rsidR="001A44B8" w:rsidRPr="00D56AF5">
        <w:rPr>
          <w:rFonts w:ascii="Garamond" w:hAnsi="Garamond"/>
          <w:sz w:val="24"/>
          <w:szCs w:val="24"/>
          <w:lang w:val="en-US"/>
        </w:rPr>
        <w:t xml:space="preserve"> fundamentally concerned with </w:t>
      </w:r>
      <w:r w:rsidR="00EA2CB8" w:rsidRPr="00D56AF5">
        <w:rPr>
          <w:rFonts w:ascii="Garamond" w:hAnsi="Garamond"/>
          <w:sz w:val="24"/>
          <w:szCs w:val="24"/>
          <w:lang w:val="en-US"/>
        </w:rPr>
        <w:t xml:space="preserve">the </w:t>
      </w:r>
      <w:r w:rsidR="00EA2CB8" w:rsidRPr="00D56AF5">
        <w:rPr>
          <w:rFonts w:ascii="Garamond" w:hAnsi="Garamond"/>
          <w:i/>
          <w:iCs/>
          <w:sz w:val="24"/>
          <w:szCs w:val="24"/>
          <w:lang w:val="en-US"/>
        </w:rPr>
        <w:t xml:space="preserve">summa </w:t>
      </w:r>
      <w:proofErr w:type="spellStart"/>
      <w:r w:rsidR="00EA2CB8" w:rsidRPr="00D56AF5">
        <w:rPr>
          <w:rFonts w:ascii="Garamond" w:hAnsi="Garamond"/>
          <w:i/>
          <w:iCs/>
          <w:sz w:val="24"/>
          <w:szCs w:val="24"/>
          <w:lang w:val="en-US"/>
        </w:rPr>
        <w:t>potestas</w:t>
      </w:r>
      <w:proofErr w:type="spellEnd"/>
      <w:r w:rsidR="00EA2CB8" w:rsidRPr="00D56AF5">
        <w:rPr>
          <w:rFonts w:ascii="Garamond" w:hAnsi="Garamond"/>
          <w:sz w:val="24"/>
          <w:szCs w:val="24"/>
          <w:lang w:val="en-US"/>
        </w:rPr>
        <w:t xml:space="preserve"> or ‘rightful authority’, external sovereignty is a normative concept</w:t>
      </w:r>
      <w:r w:rsidR="00FE21EF" w:rsidRPr="00D56AF5">
        <w:rPr>
          <w:rFonts w:ascii="Garamond" w:hAnsi="Garamond"/>
          <w:sz w:val="24"/>
          <w:szCs w:val="24"/>
          <w:lang w:val="en-US"/>
        </w:rPr>
        <w:t>.</w:t>
      </w:r>
      <w:r w:rsidR="00EA2CB8" w:rsidRPr="00D56AF5">
        <w:rPr>
          <w:rStyle w:val="FootnoteReference"/>
          <w:rFonts w:ascii="Garamond" w:hAnsi="Garamond"/>
          <w:sz w:val="24"/>
          <w:szCs w:val="24"/>
          <w:lang w:val="en-US"/>
        </w:rPr>
        <w:footnoteReference w:id="49"/>
      </w:r>
      <w:r w:rsidR="001F3DA2" w:rsidRPr="00D56AF5">
        <w:rPr>
          <w:rFonts w:ascii="Garamond" w:hAnsi="Garamond"/>
          <w:sz w:val="24"/>
          <w:szCs w:val="24"/>
          <w:lang w:val="en-US"/>
        </w:rPr>
        <w:t xml:space="preserve"> </w:t>
      </w:r>
      <w:r w:rsidR="008238D6">
        <w:rPr>
          <w:rFonts w:ascii="Garamond" w:hAnsi="Garamond"/>
          <w:sz w:val="24"/>
          <w:szCs w:val="24"/>
          <w:lang w:val="en-US"/>
        </w:rPr>
        <w:t>This point hinges on</w:t>
      </w:r>
      <w:r w:rsidR="00901AEB" w:rsidRPr="00D56AF5">
        <w:rPr>
          <w:rFonts w:ascii="Garamond" w:hAnsi="Garamond"/>
          <w:sz w:val="24"/>
          <w:szCs w:val="24"/>
          <w:lang w:val="en-US"/>
        </w:rPr>
        <w:t xml:space="preserve"> a distinction between the value of </w:t>
      </w:r>
      <w:r w:rsidR="00482756" w:rsidRPr="00D56AF5">
        <w:rPr>
          <w:rFonts w:ascii="Garamond" w:hAnsi="Garamond"/>
          <w:sz w:val="24"/>
          <w:szCs w:val="24"/>
          <w:lang w:val="en-US"/>
        </w:rPr>
        <w:t>sovereignty</w:t>
      </w:r>
      <w:r w:rsidR="002770A8" w:rsidRPr="00D56AF5">
        <w:rPr>
          <w:rFonts w:ascii="Garamond" w:hAnsi="Garamond"/>
          <w:sz w:val="24"/>
          <w:szCs w:val="24"/>
          <w:lang w:val="en-US"/>
        </w:rPr>
        <w:t xml:space="preserve">, and the </w:t>
      </w:r>
      <w:r w:rsidR="00867A09" w:rsidRPr="00D56AF5">
        <w:rPr>
          <w:rFonts w:ascii="Garamond" w:hAnsi="Garamond"/>
          <w:sz w:val="24"/>
          <w:szCs w:val="24"/>
          <w:lang w:val="en-US"/>
        </w:rPr>
        <w:t>normativ</w:t>
      </w:r>
      <w:r w:rsidR="009B2727" w:rsidRPr="00D56AF5">
        <w:rPr>
          <w:rFonts w:ascii="Garamond" w:hAnsi="Garamond"/>
          <w:sz w:val="24"/>
          <w:szCs w:val="24"/>
          <w:lang w:val="en-US"/>
        </w:rPr>
        <w:t xml:space="preserve">e content of the </w:t>
      </w:r>
      <w:r w:rsidR="00867A09" w:rsidRPr="00D56AF5">
        <w:rPr>
          <w:rFonts w:ascii="Garamond" w:hAnsi="Garamond"/>
          <w:sz w:val="24"/>
          <w:szCs w:val="24"/>
          <w:lang w:val="en-US"/>
        </w:rPr>
        <w:t xml:space="preserve">concept. </w:t>
      </w:r>
    </w:p>
    <w:p w14:paraId="312C8BA4" w14:textId="24FC1A29" w:rsidR="00760E99" w:rsidRPr="00D56AF5" w:rsidRDefault="00707FCC" w:rsidP="001340AF">
      <w:pPr>
        <w:spacing w:after="120" w:line="480" w:lineRule="auto"/>
        <w:jc w:val="both"/>
        <w:rPr>
          <w:rFonts w:ascii="Garamond" w:hAnsi="Garamond"/>
          <w:sz w:val="24"/>
          <w:szCs w:val="24"/>
          <w:lang w:val="en-US"/>
        </w:rPr>
      </w:pPr>
      <w:r w:rsidRPr="00D56AF5">
        <w:rPr>
          <w:rFonts w:ascii="Garamond" w:hAnsi="Garamond"/>
          <w:sz w:val="24"/>
          <w:szCs w:val="24"/>
          <w:lang w:val="en-US"/>
        </w:rPr>
        <w:t>The sovereignty of the state has been likened to the autonomy of the human person</w:t>
      </w:r>
      <w:r w:rsidR="00790315" w:rsidRPr="00D56AF5">
        <w:rPr>
          <w:rFonts w:ascii="Garamond" w:hAnsi="Garamond"/>
          <w:sz w:val="24"/>
          <w:szCs w:val="24"/>
          <w:lang w:val="en-US"/>
        </w:rPr>
        <w:t xml:space="preserve"> in that </w:t>
      </w:r>
      <w:r w:rsidR="008E483C" w:rsidRPr="00D56AF5">
        <w:rPr>
          <w:rFonts w:ascii="Garamond" w:hAnsi="Garamond"/>
          <w:sz w:val="24"/>
          <w:szCs w:val="24"/>
          <w:lang w:val="en-US"/>
        </w:rPr>
        <w:t xml:space="preserve">both concepts offer freedom to their subjects. </w:t>
      </w:r>
      <w:r w:rsidR="00DB7490" w:rsidRPr="00D56AF5">
        <w:rPr>
          <w:rFonts w:ascii="Garamond" w:hAnsi="Garamond"/>
          <w:sz w:val="24"/>
          <w:szCs w:val="24"/>
          <w:lang w:val="en-US"/>
        </w:rPr>
        <w:t xml:space="preserve">But sovereignty cannot be valued in the same way that </w:t>
      </w:r>
      <w:r w:rsidR="00E247B8">
        <w:rPr>
          <w:rFonts w:ascii="Garamond" w:hAnsi="Garamond"/>
          <w:sz w:val="24"/>
          <w:szCs w:val="24"/>
          <w:lang w:val="en-US"/>
        </w:rPr>
        <w:t xml:space="preserve">the individual values </w:t>
      </w:r>
      <w:r w:rsidR="00DB7490" w:rsidRPr="00D56AF5">
        <w:rPr>
          <w:rFonts w:ascii="Garamond" w:hAnsi="Garamond"/>
          <w:sz w:val="24"/>
          <w:szCs w:val="24"/>
          <w:lang w:val="en-US"/>
        </w:rPr>
        <w:t>autonomy, because states themselves are ‘not the bearers of ultimate value’.</w:t>
      </w:r>
      <w:r w:rsidR="00DB7490" w:rsidRPr="00D56AF5">
        <w:rPr>
          <w:rStyle w:val="FootnoteReference"/>
          <w:rFonts w:ascii="Garamond" w:hAnsi="Garamond"/>
          <w:sz w:val="24"/>
          <w:szCs w:val="24"/>
          <w:lang w:val="en-US"/>
        </w:rPr>
        <w:footnoteReference w:id="50"/>
      </w:r>
      <w:r w:rsidR="00DB7490" w:rsidRPr="00D56AF5">
        <w:rPr>
          <w:rFonts w:ascii="Garamond" w:hAnsi="Garamond"/>
          <w:sz w:val="24"/>
          <w:szCs w:val="24"/>
          <w:lang w:val="en-US"/>
        </w:rPr>
        <w:t xml:space="preserve"> </w:t>
      </w:r>
      <w:r w:rsidR="00E247B8">
        <w:rPr>
          <w:rFonts w:ascii="Garamond" w:hAnsi="Garamond"/>
          <w:sz w:val="24"/>
          <w:szCs w:val="24"/>
          <w:lang w:val="en-US"/>
        </w:rPr>
        <w:t>S</w:t>
      </w:r>
      <w:r w:rsidR="00E247B8" w:rsidRPr="00D56AF5">
        <w:rPr>
          <w:rFonts w:ascii="Garamond" w:hAnsi="Garamond"/>
          <w:sz w:val="24"/>
          <w:szCs w:val="24"/>
          <w:lang w:val="en-US"/>
        </w:rPr>
        <w:t>overeignty is not a first principle of international law.</w:t>
      </w:r>
      <w:r w:rsidR="00E247B8" w:rsidRPr="00D56AF5">
        <w:rPr>
          <w:rStyle w:val="FootnoteReference"/>
          <w:rFonts w:ascii="Garamond" w:hAnsi="Garamond"/>
          <w:sz w:val="24"/>
          <w:szCs w:val="24"/>
          <w:lang w:val="en-US"/>
        </w:rPr>
        <w:footnoteReference w:id="51"/>
      </w:r>
      <w:r w:rsidR="00E247B8">
        <w:rPr>
          <w:rFonts w:ascii="Garamond" w:hAnsi="Garamond"/>
          <w:sz w:val="24"/>
          <w:szCs w:val="24"/>
          <w:lang w:val="en-US"/>
        </w:rPr>
        <w:t xml:space="preserve"> </w:t>
      </w:r>
      <w:r w:rsidR="00DB7490" w:rsidRPr="00D56AF5">
        <w:rPr>
          <w:rFonts w:ascii="Garamond" w:hAnsi="Garamond"/>
          <w:sz w:val="24"/>
          <w:szCs w:val="24"/>
          <w:lang w:val="en-US"/>
        </w:rPr>
        <w:t>States are valued</w:t>
      </w:r>
      <w:r w:rsidR="00E247B8">
        <w:rPr>
          <w:rFonts w:ascii="Garamond" w:hAnsi="Garamond"/>
          <w:sz w:val="24"/>
          <w:szCs w:val="24"/>
          <w:lang w:val="en-US"/>
        </w:rPr>
        <w:t xml:space="preserve"> instrumentally</w:t>
      </w:r>
      <w:r w:rsidR="00DB7490" w:rsidRPr="00D56AF5">
        <w:rPr>
          <w:rFonts w:ascii="Garamond" w:hAnsi="Garamond"/>
          <w:sz w:val="24"/>
          <w:szCs w:val="24"/>
          <w:lang w:val="en-US"/>
        </w:rPr>
        <w:t xml:space="preserve"> </w:t>
      </w:r>
      <w:r w:rsidR="00E247B8">
        <w:rPr>
          <w:rFonts w:ascii="Garamond" w:hAnsi="Garamond"/>
          <w:sz w:val="24"/>
          <w:szCs w:val="24"/>
          <w:lang w:val="en-US"/>
        </w:rPr>
        <w:t xml:space="preserve">to the </w:t>
      </w:r>
      <w:r w:rsidR="00E247B8">
        <w:rPr>
          <w:rFonts w:ascii="Garamond" w:hAnsi="Garamond"/>
          <w:sz w:val="24"/>
          <w:szCs w:val="24"/>
          <w:lang w:val="en-US"/>
        </w:rPr>
        <w:lastRenderedPageBreak/>
        <w:t xml:space="preserve">extent that </w:t>
      </w:r>
      <w:r w:rsidR="00DB7490" w:rsidRPr="00D56AF5">
        <w:rPr>
          <w:rFonts w:ascii="Garamond" w:hAnsi="Garamond"/>
          <w:sz w:val="24"/>
          <w:szCs w:val="24"/>
          <w:lang w:val="en-US"/>
        </w:rPr>
        <w:t xml:space="preserve">they promote </w:t>
      </w:r>
      <w:r w:rsidR="00E247B8">
        <w:rPr>
          <w:rFonts w:ascii="Garamond" w:hAnsi="Garamond"/>
          <w:sz w:val="24"/>
          <w:szCs w:val="24"/>
          <w:lang w:val="en-US"/>
        </w:rPr>
        <w:t>the good</w:t>
      </w:r>
      <w:r w:rsidR="00DB7490" w:rsidRPr="00D56AF5">
        <w:rPr>
          <w:rFonts w:ascii="Garamond" w:hAnsi="Garamond"/>
          <w:sz w:val="24"/>
          <w:szCs w:val="24"/>
          <w:lang w:val="en-US"/>
        </w:rPr>
        <w:t xml:space="preserve"> of their </w:t>
      </w:r>
      <w:r w:rsidR="00E247B8">
        <w:rPr>
          <w:rFonts w:ascii="Garamond" w:hAnsi="Garamond"/>
          <w:sz w:val="24"/>
          <w:szCs w:val="24"/>
          <w:lang w:val="en-US"/>
        </w:rPr>
        <w:t>political communities</w:t>
      </w:r>
      <w:r w:rsidR="00DB7490" w:rsidRPr="00D56AF5">
        <w:rPr>
          <w:rFonts w:ascii="Garamond" w:hAnsi="Garamond"/>
          <w:sz w:val="24"/>
          <w:szCs w:val="24"/>
          <w:lang w:val="en-US"/>
        </w:rPr>
        <w:t>.</w:t>
      </w:r>
      <w:r w:rsidR="00DB7490" w:rsidRPr="00D56AF5">
        <w:rPr>
          <w:rStyle w:val="FootnoteReference"/>
          <w:rFonts w:ascii="Garamond" w:hAnsi="Garamond"/>
          <w:sz w:val="24"/>
          <w:szCs w:val="24"/>
          <w:lang w:val="en-US"/>
        </w:rPr>
        <w:footnoteReference w:id="52"/>
      </w:r>
      <w:r w:rsidR="00DB7490" w:rsidRPr="00D56AF5">
        <w:rPr>
          <w:rFonts w:ascii="Garamond" w:hAnsi="Garamond"/>
          <w:sz w:val="24"/>
          <w:szCs w:val="24"/>
          <w:lang w:val="en-US"/>
        </w:rPr>
        <w:t xml:space="preserve"> </w:t>
      </w:r>
      <w:r w:rsidR="003E5079" w:rsidRPr="00D56AF5">
        <w:rPr>
          <w:rFonts w:ascii="Garamond" w:hAnsi="Garamond"/>
          <w:sz w:val="24"/>
          <w:szCs w:val="24"/>
          <w:lang w:val="en-US"/>
        </w:rPr>
        <w:t>The state can only do this, if it has a certain degree of freedom from external interference. Therefore, sovereignty is the composite authority and autonomy needed by a state to ultimately promote the interests of its subjects</w:t>
      </w:r>
      <w:r w:rsidR="003E5079" w:rsidRPr="00D56AF5">
        <w:rPr>
          <w:rStyle w:val="FootnoteReference"/>
          <w:rFonts w:ascii="Garamond" w:hAnsi="Garamond"/>
          <w:sz w:val="24"/>
          <w:szCs w:val="24"/>
          <w:lang w:val="en-US"/>
        </w:rPr>
        <w:footnoteReference w:id="53"/>
      </w:r>
      <w:r w:rsidR="003A0667" w:rsidRPr="00D56AF5">
        <w:rPr>
          <w:rFonts w:ascii="Garamond" w:hAnsi="Garamond"/>
          <w:sz w:val="24"/>
          <w:szCs w:val="24"/>
          <w:lang w:val="en-US"/>
        </w:rPr>
        <w:t xml:space="preserve"> and discharge the functions of a state.</w:t>
      </w:r>
    </w:p>
    <w:p w14:paraId="67D187E9" w14:textId="79E05483" w:rsidR="00D8739F" w:rsidRPr="00D56AF5" w:rsidRDefault="005722E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It is </w:t>
      </w:r>
      <w:r w:rsidR="00C64F72" w:rsidRPr="00D56AF5">
        <w:rPr>
          <w:rFonts w:ascii="Garamond" w:hAnsi="Garamond"/>
          <w:sz w:val="24"/>
          <w:szCs w:val="24"/>
          <w:lang w:val="en-US"/>
        </w:rPr>
        <w:t xml:space="preserve">here that sovereignty </w:t>
      </w:r>
      <w:r w:rsidR="00404678" w:rsidRPr="00D56AF5">
        <w:rPr>
          <w:rFonts w:ascii="Garamond" w:hAnsi="Garamond"/>
          <w:sz w:val="24"/>
          <w:szCs w:val="24"/>
          <w:lang w:val="en-US"/>
        </w:rPr>
        <w:t xml:space="preserve">transforms </w:t>
      </w:r>
      <w:r w:rsidR="00C64F72" w:rsidRPr="00D56AF5">
        <w:rPr>
          <w:rFonts w:ascii="Garamond" w:hAnsi="Garamond"/>
          <w:sz w:val="24"/>
          <w:szCs w:val="24"/>
          <w:lang w:val="en-US"/>
        </w:rPr>
        <w:t>into a normative concept</w:t>
      </w:r>
      <w:r w:rsidR="00E35069" w:rsidRPr="00D56AF5">
        <w:rPr>
          <w:rFonts w:ascii="Garamond" w:hAnsi="Garamond"/>
          <w:sz w:val="24"/>
          <w:szCs w:val="24"/>
          <w:lang w:val="en-US"/>
        </w:rPr>
        <w:t xml:space="preserve">. Sovereignty </w:t>
      </w:r>
      <w:r w:rsidR="005810DA" w:rsidRPr="00D56AF5">
        <w:rPr>
          <w:rFonts w:ascii="Garamond" w:hAnsi="Garamond"/>
          <w:sz w:val="24"/>
          <w:szCs w:val="24"/>
          <w:lang w:val="en-US"/>
        </w:rPr>
        <w:t xml:space="preserve">not only </w:t>
      </w:r>
      <w:r w:rsidR="00E35069" w:rsidRPr="00D56AF5">
        <w:rPr>
          <w:rFonts w:ascii="Garamond" w:hAnsi="Garamond"/>
          <w:sz w:val="24"/>
          <w:szCs w:val="24"/>
          <w:lang w:val="en-US"/>
        </w:rPr>
        <w:t>incorporates a number of values</w:t>
      </w:r>
      <w:r w:rsidR="0084138F" w:rsidRPr="00D56AF5">
        <w:rPr>
          <w:rFonts w:ascii="Garamond" w:hAnsi="Garamond"/>
          <w:sz w:val="24"/>
          <w:szCs w:val="24"/>
          <w:lang w:val="en-US"/>
        </w:rPr>
        <w:t xml:space="preserve">, </w:t>
      </w:r>
      <w:r w:rsidR="005810DA" w:rsidRPr="00D56AF5">
        <w:rPr>
          <w:rFonts w:ascii="Garamond" w:hAnsi="Garamond"/>
          <w:sz w:val="24"/>
          <w:szCs w:val="24"/>
          <w:lang w:val="en-US"/>
        </w:rPr>
        <w:t xml:space="preserve">but </w:t>
      </w:r>
      <w:r w:rsidR="00E35069" w:rsidRPr="00D56AF5">
        <w:rPr>
          <w:rFonts w:ascii="Garamond" w:hAnsi="Garamond"/>
          <w:sz w:val="24"/>
          <w:szCs w:val="24"/>
          <w:lang w:val="en-US"/>
        </w:rPr>
        <w:t xml:space="preserve">it </w:t>
      </w:r>
      <w:r w:rsidR="005810DA" w:rsidRPr="00D56AF5">
        <w:rPr>
          <w:rFonts w:ascii="Garamond" w:hAnsi="Garamond"/>
          <w:sz w:val="24"/>
          <w:szCs w:val="24"/>
          <w:lang w:val="en-US"/>
        </w:rPr>
        <w:t xml:space="preserve">also </w:t>
      </w:r>
      <w:r w:rsidR="00E35069" w:rsidRPr="00D56AF5">
        <w:rPr>
          <w:rFonts w:ascii="Garamond" w:hAnsi="Garamond"/>
          <w:sz w:val="24"/>
          <w:szCs w:val="24"/>
          <w:lang w:val="en-US"/>
        </w:rPr>
        <w:t xml:space="preserve">seeks to implement </w:t>
      </w:r>
      <w:r w:rsidR="0084138F" w:rsidRPr="00D56AF5">
        <w:rPr>
          <w:rFonts w:ascii="Garamond" w:hAnsi="Garamond"/>
          <w:sz w:val="24"/>
          <w:szCs w:val="24"/>
          <w:lang w:val="en-US"/>
        </w:rPr>
        <w:t xml:space="preserve">these values </w:t>
      </w:r>
      <w:r w:rsidR="00E35069" w:rsidRPr="00D56AF5">
        <w:rPr>
          <w:rFonts w:ascii="Garamond" w:hAnsi="Garamond"/>
          <w:sz w:val="24"/>
          <w:szCs w:val="24"/>
          <w:lang w:val="en-US"/>
        </w:rPr>
        <w:t>in practice</w:t>
      </w:r>
      <w:r w:rsidR="00442BAF" w:rsidRPr="00D56AF5">
        <w:rPr>
          <w:rFonts w:ascii="Garamond" w:hAnsi="Garamond"/>
          <w:sz w:val="24"/>
          <w:szCs w:val="24"/>
          <w:lang w:val="en-US"/>
        </w:rPr>
        <w:t>.</w:t>
      </w:r>
      <w:r w:rsidR="006B0342" w:rsidRPr="00D56AF5">
        <w:rPr>
          <w:rStyle w:val="FootnoteReference"/>
          <w:rFonts w:ascii="Garamond" w:hAnsi="Garamond"/>
          <w:sz w:val="24"/>
          <w:szCs w:val="24"/>
          <w:lang w:val="en-US"/>
        </w:rPr>
        <w:footnoteReference w:id="54"/>
      </w:r>
      <w:r w:rsidR="00442BAF" w:rsidRPr="00D56AF5">
        <w:rPr>
          <w:rFonts w:ascii="Garamond" w:hAnsi="Garamond"/>
          <w:sz w:val="24"/>
          <w:szCs w:val="24"/>
          <w:lang w:val="en-US"/>
        </w:rPr>
        <w:t xml:space="preserve"> </w:t>
      </w:r>
      <w:r w:rsidR="00D064E8" w:rsidRPr="00D56AF5">
        <w:rPr>
          <w:rFonts w:ascii="Garamond" w:hAnsi="Garamond"/>
          <w:sz w:val="24"/>
          <w:szCs w:val="24"/>
          <w:lang w:val="en-US"/>
        </w:rPr>
        <w:t xml:space="preserve">The </w:t>
      </w:r>
      <w:r w:rsidR="00051FB2" w:rsidRPr="00D56AF5">
        <w:rPr>
          <w:rFonts w:ascii="Garamond" w:hAnsi="Garamond"/>
          <w:sz w:val="24"/>
          <w:szCs w:val="24"/>
          <w:lang w:val="en-US"/>
        </w:rPr>
        <w:t xml:space="preserve">normative practices </w:t>
      </w:r>
      <w:r w:rsidR="005A5F3A" w:rsidRPr="00D56AF5">
        <w:rPr>
          <w:rFonts w:ascii="Garamond" w:hAnsi="Garamond"/>
          <w:sz w:val="24"/>
          <w:szCs w:val="24"/>
          <w:lang w:val="en-US"/>
        </w:rPr>
        <w:t>of the members of the international community</w:t>
      </w:r>
      <w:r w:rsidR="00D064E8" w:rsidRPr="00D56AF5">
        <w:rPr>
          <w:rFonts w:ascii="Garamond" w:hAnsi="Garamond"/>
          <w:sz w:val="24"/>
          <w:szCs w:val="24"/>
          <w:lang w:val="en-US"/>
        </w:rPr>
        <w:t xml:space="preserve"> indicate the manner and mode in which</w:t>
      </w:r>
      <w:r w:rsidR="005A5F3A" w:rsidRPr="00D56AF5">
        <w:rPr>
          <w:rFonts w:ascii="Garamond" w:hAnsi="Garamond"/>
          <w:sz w:val="24"/>
          <w:szCs w:val="24"/>
          <w:lang w:val="en-US"/>
        </w:rPr>
        <w:t xml:space="preserve"> </w:t>
      </w:r>
      <w:r w:rsidR="00532097" w:rsidRPr="00D56AF5">
        <w:rPr>
          <w:rFonts w:ascii="Garamond" w:hAnsi="Garamond"/>
          <w:sz w:val="24"/>
          <w:szCs w:val="24"/>
          <w:lang w:val="en-US"/>
        </w:rPr>
        <w:t>states should respond to these values</w:t>
      </w:r>
      <w:r w:rsidR="001941E1" w:rsidRPr="00D56AF5">
        <w:rPr>
          <w:rFonts w:ascii="Garamond" w:hAnsi="Garamond"/>
          <w:sz w:val="24"/>
          <w:szCs w:val="24"/>
          <w:lang w:val="en-US"/>
        </w:rPr>
        <w:t>.</w:t>
      </w:r>
      <w:r w:rsidR="00D66006" w:rsidRPr="00D56AF5">
        <w:rPr>
          <w:rStyle w:val="FootnoteReference"/>
          <w:rFonts w:ascii="Garamond" w:hAnsi="Garamond"/>
          <w:sz w:val="24"/>
          <w:szCs w:val="24"/>
          <w:lang w:val="en-US"/>
        </w:rPr>
        <w:footnoteReference w:id="55"/>
      </w:r>
      <w:r w:rsidR="001941E1" w:rsidRPr="00D56AF5">
        <w:rPr>
          <w:rFonts w:ascii="Garamond" w:hAnsi="Garamond"/>
          <w:sz w:val="24"/>
          <w:szCs w:val="24"/>
          <w:lang w:val="en-US"/>
        </w:rPr>
        <w:t xml:space="preserve"> </w:t>
      </w:r>
      <w:r w:rsidR="008C09CD" w:rsidRPr="00D56AF5">
        <w:rPr>
          <w:rFonts w:ascii="Garamond" w:hAnsi="Garamond"/>
          <w:sz w:val="24"/>
          <w:szCs w:val="24"/>
          <w:lang w:val="en-US"/>
        </w:rPr>
        <w:t xml:space="preserve">These values include </w:t>
      </w:r>
      <w:r w:rsidR="00FA045E" w:rsidRPr="00D56AF5">
        <w:rPr>
          <w:rFonts w:ascii="Garamond" w:hAnsi="Garamond"/>
          <w:sz w:val="24"/>
          <w:szCs w:val="24"/>
          <w:lang w:val="en-US"/>
        </w:rPr>
        <w:t>(</w:t>
      </w:r>
      <w:r w:rsidR="00E247B8">
        <w:rPr>
          <w:rFonts w:ascii="Garamond" w:hAnsi="Garamond"/>
          <w:sz w:val="24"/>
          <w:szCs w:val="24"/>
          <w:lang w:val="en-US"/>
        </w:rPr>
        <w:t>non-</w:t>
      </w:r>
      <w:r w:rsidR="00FA045E" w:rsidRPr="00D56AF5">
        <w:rPr>
          <w:rFonts w:ascii="Garamond" w:hAnsi="Garamond"/>
          <w:sz w:val="24"/>
          <w:szCs w:val="24"/>
          <w:lang w:val="en-US"/>
        </w:rPr>
        <w:t>exhaustive</w:t>
      </w:r>
      <w:r w:rsidR="00E247B8">
        <w:rPr>
          <w:rFonts w:ascii="Garamond" w:hAnsi="Garamond"/>
          <w:sz w:val="24"/>
          <w:szCs w:val="24"/>
          <w:lang w:val="en-US"/>
        </w:rPr>
        <w:t>ly</w:t>
      </w:r>
      <w:r w:rsidR="00FA045E" w:rsidRPr="00D56AF5">
        <w:rPr>
          <w:rFonts w:ascii="Garamond" w:hAnsi="Garamond"/>
          <w:sz w:val="24"/>
          <w:szCs w:val="24"/>
          <w:lang w:val="en-US"/>
        </w:rPr>
        <w:t>), the representation and political participation of state subjects in international relations</w:t>
      </w:r>
      <w:r w:rsidR="00FA045E" w:rsidRPr="00D56AF5">
        <w:rPr>
          <w:rStyle w:val="FootnoteReference"/>
          <w:rFonts w:ascii="Garamond" w:hAnsi="Garamond"/>
          <w:sz w:val="24"/>
          <w:szCs w:val="24"/>
          <w:lang w:val="en-US"/>
        </w:rPr>
        <w:footnoteReference w:id="56"/>
      </w:r>
      <w:r w:rsidR="00FA045E" w:rsidRPr="00D56AF5">
        <w:rPr>
          <w:rFonts w:ascii="Garamond" w:hAnsi="Garamond"/>
          <w:sz w:val="24"/>
          <w:szCs w:val="24"/>
          <w:lang w:val="en-US"/>
        </w:rPr>
        <w:t xml:space="preserve"> human rights, equality of states, self-determination of political communities,</w:t>
      </w:r>
      <w:r w:rsidR="00FA045E" w:rsidRPr="00D56AF5">
        <w:rPr>
          <w:rStyle w:val="FootnoteReference"/>
          <w:rFonts w:ascii="Garamond" w:hAnsi="Garamond"/>
          <w:sz w:val="24"/>
          <w:szCs w:val="24"/>
          <w:lang w:val="en-US"/>
        </w:rPr>
        <w:footnoteReference w:id="57"/>
      </w:r>
      <w:r w:rsidR="00FA045E" w:rsidRPr="00D56AF5">
        <w:rPr>
          <w:rFonts w:ascii="Garamond" w:hAnsi="Garamond"/>
          <w:sz w:val="24"/>
          <w:szCs w:val="24"/>
          <w:lang w:val="en-US"/>
        </w:rPr>
        <w:t xml:space="preserve"> </w:t>
      </w:r>
      <w:r w:rsidR="00550915" w:rsidRPr="00D56AF5">
        <w:rPr>
          <w:rFonts w:ascii="Garamond" w:hAnsi="Garamond"/>
          <w:sz w:val="24"/>
          <w:szCs w:val="24"/>
          <w:lang w:val="en-US"/>
        </w:rPr>
        <w:t>political</w:t>
      </w:r>
      <w:r w:rsidR="00FA045E" w:rsidRPr="00D56AF5">
        <w:rPr>
          <w:rFonts w:ascii="Garamond" w:hAnsi="Garamond"/>
          <w:sz w:val="24"/>
          <w:szCs w:val="24"/>
          <w:lang w:val="en-US"/>
        </w:rPr>
        <w:t xml:space="preserve"> pluralism,</w:t>
      </w:r>
      <w:r w:rsidR="00FA045E" w:rsidRPr="00D56AF5">
        <w:rPr>
          <w:rStyle w:val="FootnoteReference"/>
          <w:rFonts w:ascii="Garamond" w:hAnsi="Garamond"/>
          <w:sz w:val="24"/>
          <w:szCs w:val="24"/>
          <w:lang w:val="en-US"/>
        </w:rPr>
        <w:footnoteReference w:id="58"/>
      </w:r>
      <w:r w:rsidR="00FA045E" w:rsidRPr="00D56AF5">
        <w:rPr>
          <w:rFonts w:ascii="Garamond" w:hAnsi="Garamond"/>
          <w:sz w:val="24"/>
          <w:szCs w:val="24"/>
          <w:lang w:val="en-US"/>
        </w:rPr>
        <w:t xml:space="preserve"> popular sovereignty,</w:t>
      </w:r>
      <w:r w:rsidR="00FA045E" w:rsidRPr="00D56AF5">
        <w:rPr>
          <w:rStyle w:val="FootnoteReference"/>
          <w:rFonts w:ascii="Garamond" w:hAnsi="Garamond"/>
          <w:sz w:val="24"/>
          <w:szCs w:val="24"/>
          <w:lang w:val="en-US"/>
        </w:rPr>
        <w:footnoteReference w:id="59"/>
      </w:r>
      <w:r w:rsidR="00FA045E" w:rsidRPr="00D56AF5">
        <w:rPr>
          <w:rFonts w:ascii="Garamond" w:hAnsi="Garamond"/>
          <w:sz w:val="24"/>
          <w:szCs w:val="24"/>
          <w:lang w:val="en-US"/>
        </w:rPr>
        <w:t xml:space="preserve"> </w:t>
      </w:r>
      <w:r w:rsidR="00FC5B5F" w:rsidRPr="00D56AF5">
        <w:rPr>
          <w:rFonts w:ascii="Garamond" w:hAnsi="Garamond"/>
          <w:sz w:val="24"/>
          <w:szCs w:val="24"/>
          <w:lang w:val="en-US"/>
        </w:rPr>
        <w:t>the co-existence and cooperation of states,</w:t>
      </w:r>
      <w:r w:rsidR="00466C56" w:rsidRPr="00D56AF5">
        <w:rPr>
          <w:rFonts w:ascii="Garamond" w:hAnsi="Garamond"/>
          <w:sz w:val="24"/>
          <w:szCs w:val="24"/>
          <w:lang w:val="en-US"/>
        </w:rPr>
        <w:t xml:space="preserve"> </w:t>
      </w:r>
      <w:r w:rsidR="00FA045E" w:rsidRPr="00D56AF5">
        <w:rPr>
          <w:rFonts w:ascii="Garamond" w:hAnsi="Garamond"/>
          <w:sz w:val="24"/>
          <w:szCs w:val="24"/>
          <w:lang w:val="en-US"/>
        </w:rPr>
        <w:t>and subsidiarity.</w:t>
      </w:r>
      <w:r w:rsidR="00FA045E" w:rsidRPr="00D56AF5">
        <w:rPr>
          <w:rStyle w:val="FootnoteReference"/>
          <w:rFonts w:ascii="Garamond" w:hAnsi="Garamond"/>
          <w:sz w:val="24"/>
          <w:szCs w:val="24"/>
          <w:lang w:val="en-US"/>
        </w:rPr>
        <w:footnoteReference w:id="60"/>
      </w:r>
    </w:p>
    <w:p w14:paraId="68A0FEEF" w14:textId="6246BE7D" w:rsidR="003B5118" w:rsidRPr="00D56AF5" w:rsidRDefault="00AB55F3"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The justificatory practice of </w:t>
      </w:r>
      <w:r w:rsidR="008108E4" w:rsidRPr="00D56AF5">
        <w:rPr>
          <w:rFonts w:ascii="Garamond" w:hAnsi="Garamond"/>
          <w:sz w:val="24"/>
          <w:szCs w:val="24"/>
          <w:lang w:val="en-US"/>
        </w:rPr>
        <w:t xml:space="preserve">sovereignty </w:t>
      </w:r>
      <w:r w:rsidR="00167B4E" w:rsidRPr="00D56AF5">
        <w:rPr>
          <w:rFonts w:ascii="Garamond" w:hAnsi="Garamond"/>
          <w:sz w:val="24"/>
          <w:szCs w:val="24"/>
          <w:lang w:val="en-US"/>
        </w:rPr>
        <w:t xml:space="preserve">can be observed in rules of international law which </w:t>
      </w:r>
      <w:r w:rsidR="0085016F" w:rsidRPr="00D56AF5">
        <w:rPr>
          <w:rFonts w:ascii="Garamond" w:hAnsi="Garamond"/>
          <w:sz w:val="24"/>
          <w:szCs w:val="24"/>
          <w:lang w:val="en-US"/>
        </w:rPr>
        <w:t xml:space="preserve">capture the </w:t>
      </w:r>
      <w:r w:rsidR="00DE536C" w:rsidRPr="00D56AF5">
        <w:rPr>
          <w:rFonts w:ascii="Garamond" w:hAnsi="Garamond"/>
          <w:sz w:val="24"/>
          <w:szCs w:val="24"/>
          <w:lang w:val="en-US"/>
        </w:rPr>
        <w:t xml:space="preserve">attitudes of the </w:t>
      </w:r>
      <w:r w:rsidR="0085016F" w:rsidRPr="00D56AF5">
        <w:rPr>
          <w:rFonts w:ascii="Garamond" w:hAnsi="Garamond"/>
          <w:sz w:val="24"/>
          <w:szCs w:val="24"/>
          <w:lang w:val="en-US"/>
        </w:rPr>
        <w:t xml:space="preserve">international community </w:t>
      </w:r>
      <w:r w:rsidR="00DE536C" w:rsidRPr="00D56AF5">
        <w:rPr>
          <w:rFonts w:ascii="Garamond" w:hAnsi="Garamond"/>
          <w:sz w:val="24"/>
          <w:szCs w:val="24"/>
          <w:lang w:val="en-US"/>
        </w:rPr>
        <w:t xml:space="preserve">towards </w:t>
      </w:r>
      <w:r w:rsidR="00751F8F" w:rsidRPr="00D56AF5">
        <w:rPr>
          <w:rFonts w:ascii="Garamond" w:hAnsi="Garamond"/>
          <w:sz w:val="24"/>
          <w:szCs w:val="24"/>
          <w:lang w:val="en-US"/>
        </w:rPr>
        <w:t xml:space="preserve">these </w:t>
      </w:r>
      <w:r w:rsidR="0085016F" w:rsidRPr="00D56AF5">
        <w:rPr>
          <w:rFonts w:ascii="Garamond" w:hAnsi="Garamond"/>
          <w:sz w:val="24"/>
          <w:szCs w:val="24"/>
          <w:lang w:val="en-US"/>
        </w:rPr>
        <w:t xml:space="preserve">incorporated </w:t>
      </w:r>
      <w:r w:rsidR="00751F8F" w:rsidRPr="00D56AF5">
        <w:rPr>
          <w:rFonts w:ascii="Garamond" w:hAnsi="Garamond"/>
          <w:sz w:val="24"/>
          <w:szCs w:val="24"/>
          <w:lang w:val="en-US"/>
        </w:rPr>
        <w:t>values</w:t>
      </w:r>
      <w:r w:rsidR="000E2E67">
        <w:rPr>
          <w:rFonts w:ascii="Garamond" w:hAnsi="Garamond"/>
          <w:sz w:val="24"/>
          <w:szCs w:val="24"/>
          <w:lang w:val="en-US"/>
        </w:rPr>
        <w:t>. This includes</w:t>
      </w:r>
      <w:r w:rsidR="0085016F" w:rsidRPr="00D56AF5">
        <w:rPr>
          <w:rFonts w:ascii="Garamond" w:hAnsi="Garamond"/>
          <w:sz w:val="24"/>
          <w:szCs w:val="24"/>
          <w:lang w:val="en-US"/>
        </w:rPr>
        <w:t xml:space="preserve"> </w:t>
      </w:r>
      <w:r w:rsidR="00A73221" w:rsidRPr="00D56AF5">
        <w:rPr>
          <w:rFonts w:ascii="Garamond" w:hAnsi="Garamond"/>
          <w:sz w:val="24"/>
          <w:szCs w:val="24"/>
          <w:lang w:val="en-US"/>
        </w:rPr>
        <w:t xml:space="preserve">rules </w:t>
      </w:r>
      <w:r w:rsidR="00055AEE">
        <w:rPr>
          <w:rFonts w:ascii="Garamond" w:hAnsi="Garamond"/>
          <w:sz w:val="24"/>
          <w:szCs w:val="24"/>
          <w:lang w:val="en-US"/>
        </w:rPr>
        <w:t xml:space="preserve">that </w:t>
      </w:r>
      <w:r w:rsidR="005924D5" w:rsidRPr="00D56AF5">
        <w:rPr>
          <w:rFonts w:ascii="Garamond" w:hAnsi="Garamond"/>
          <w:sz w:val="24"/>
          <w:szCs w:val="24"/>
          <w:lang w:val="en-US"/>
        </w:rPr>
        <w:t xml:space="preserve">proceed as corollaries of </w:t>
      </w:r>
      <w:r w:rsidR="000E7E76" w:rsidRPr="00D56AF5">
        <w:rPr>
          <w:rFonts w:ascii="Garamond" w:hAnsi="Garamond"/>
          <w:sz w:val="24"/>
          <w:szCs w:val="24"/>
          <w:lang w:val="en-US"/>
        </w:rPr>
        <w:t>sovereignty</w:t>
      </w:r>
      <w:r w:rsidR="00A73221" w:rsidRPr="00D56AF5">
        <w:rPr>
          <w:rFonts w:ascii="Garamond" w:hAnsi="Garamond"/>
          <w:sz w:val="24"/>
          <w:szCs w:val="24"/>
          <w:lang w:val="en-US"/>
        </w:rPr>
        <w:t xml:space="preserve"> and </w:t>
      </w:r>
      <w:r w:rsidR="00D423F1">
        <w:rPr>
          <w:rFonts w:ascii="Garamond" w:hAnsi="Garamond"/>
          <w:sz w:val="24"/>
          <w:szCs w:val="24"/>
          <w:lang w:val="en-US"/>
        </w:rPr>
        <w:t xml:space="preserve">reflect </w:t>
      </w:r>
      <w:r w:rsidR="00F54923" w:rsidRPr="00D56AF5">
        <w:rPr>
          <w:rFonts w:ascii="Garamond" w:hAnsi="Garamond"/>
          <w:sz w:val="24"/>
          <w:szCs w:val="24"/>
          <w:lang w:val="en-US"/>
        </w:rPr>
        <w:t>its normative content</w:t>
      </w:r>
      <w:r w:rsidR="000E2E67">
        <w:rPr>
          <w:rFonts w:ascii="Garamond" w:hAnsi="Garamond"/>
          <w:sz w:val="24"/>
          <w:szCs w:val="24"/>
          <w:lang w:val="en-US"/>
        </w:rPr>
        <w:t>, such as</w:t>
      </w:r>
      <w:r w:rsidR="00F54923" w:rsidRPr="00D56AF5">
        <w:rPr>
          <w:rFonts w:ascii="Garamond" w:hAnsi="Garamond"/>
          <w:sz w:val="24"/>
          <w:szCs w:val="24"/>
          <w:lang w:val="en-US"/>
        </w:rPr>
        <w:t xml:space="preserve"> the state’s obligations to protect human rights, the right of self-determination, the rule of non-intervention in the affairs of other states, and the general principle of international law of subsidiarity</w:t>
      </w:r>
      <w:r w:rsidR="00544E6C" w:rsidRPr="00D56AF5">
        <w:rPr>
          <w:rFonts w:ascii="Garamond" w:hAnsi="Garamond"/>
          <w:sz w:val="24"/>
          <w:szCs w:val="24"/>
          <w:lang w:val="en-US"/>
        </w:rPr>
        <w:t xml:space="preserve"> and </w:t>
      </w:r>
      <w:r w:rsidR="00544E6C" w:rsidRPr="00D56AF5">
        <w:rPr>
          <w:rFonts w:ascii="Garamond" w:hAnsi="Garamond"/>
          <w:sz w:val="24"/>
          <w:szCs w:val="24"/>
          <w:lang w:val="en-US"/>
        </w:rPr>
        <w:lastRenderedPageBreak/>
        <w:t>comity</w:t>
      </w:r>
      <w:r w:rsidR="00F54923" w:rsidRPr="00D56AF5">
        <w:rPr>
          <w:rFonts w:ascii="Garamond" w:hAnsi="Garamond"/>
          <w:sz w:val="24"/>
          <w:szCs w:val="24"/>
          <w:lang w:val="en-US"/>
        </w:rPr>
        <w:t>.</w:t>
      </w:r>
      <w:r w:rsidR="00CB684C" w:rsidRPr="00D56AF5">
        <w:rPr>
          <w:rFonts w:ascii="Garamond" w:hAnsi="Garamond"/>
          <w:sz w:val="24"/>
          <w:szCs w:val="24"/>
          <w:lang w:val="en-US"/>
        </w:rPr>
        <w:t xml:space="preserve"> We also have the </w:t>
      </w:r>
      <w:r w:rsidR="003B5118" w:rsidRPr="00D56AF5">
        <w:rPr>
          <w:rFonts w:ascii="Garamond" w:hAnsi="Garamond"/>
          <w:sz w:val="24"/>
          <w:szCs w:val="24"/>
          <w:lang w:val="en-US"/>
        </w:rPr>
        <w:t>contemporary formulation of ‘sovereignty as responsibility’,</w:t>
      </w:r>
      <w:r w:rsidR="003B5118" w:rsidRPr="00D56AF5">
        <w:rPr>
          <w:rStyle w:val="FootnoteReference"/>
          <w:rFonts w:ascii="Garamond" w:hAnsi="Garamond"/>
          <w:sz w:val="24"/>
          <w:szCs w:val="24"/>
          <w:lang w:val="en-US"/>
        </w:rPr>
        <w:footnoteReference w:id="61"/>
      </w:r>
      <w:r w:rsidR="003B5118" w:rsidRPr="00D56AF5">
        <w:rPr>
          <w:rFonts w:ascii="Garamond" w:hAnsi="Garamond"/>
          <w:sz w:val="24"/>
          <w:szCs w:val="24"/>
          <w:lang w:val="en-US"/>
        </w:rPr>
        <w:t xml:space="preserve"> which has catalyzed the acceptance of doctrine</w:t>
      </w:r>
      <w:r w:rsidR="00166A17" w:rsidRPr="00D56AF5">
        <w:rPr>
          <w:rFonts w:ascii="Garamond" w:hAnsi="Garamond"/>
          <w:sz w:val="24"/>
          <w:szCs w:val="24"/>
          <w:lang w:val="en-US"/>
        </w:rPr>
        <w:t>s</w:t>
      </w:r>
      <w:r w:rsidR="003B5118" w:rsidRPr="00D56AF5">
        <w:rPr>
          <w:rFonts w:ascii="Garamond" w:hAnsi="Garamond"/>
          <w:sz w:val="24"/>
          <w:szCs w:val="24"/>
          <w:lang w:val="en-US"/>
        </w:rPr>
        <w:t xml:space="preserve"> </w:t>
      </w:r>
      <w:r w:rsidR="00166A17" w:rsidRPr="00D56AF5">
        <w:rPr>
          <w:rFonts w:ascii="Garamond" w:hAnsi="Garamond"/>
          <w:sz w:val="24"/>
          <w:szCs w:val="24"/>
          <w:lang w:val="en-US"/>
        </w:rPr>
        <w:t xml:space="preserve">like </w:t>
      </w:r>
      <w:r w:rsidR="003B5118" w:rsidRPr="00D56AF5">
        <w:rPr>
          <w:rFonts w:ascii="Garamond" w:hAnsi="Garamond"/>
          <w:sz w:val="24"/>
          <w:szCs w:val="24"/>
          <w:lang w:val="en-US"/>
        </w:rPr>
        <w:t>Responsibility to Protect (under which the state has a primary duty to protect its citizens, and third states have a residua</w:t>
      </w:r>
      <w:r w:rsidR="00B37813">
        <w:rPr>
          <w:rFonts w:ascii="Garamond" w:hAnsi="Garamond"/>
          <w:sz w:val="24"/>
          <w:szCs w:val="24"/>
          <w:lang w:val="en-US"/>
        </w:rPr>
        <w:t>l</w:t>
      </w:r>
      <w:r w:rsidR="003B5118" w:rsidRPr="00D56AF5">
        <w:rPr>
          <w:rFonts w:ascii="Garamond" w:hAnsi="Garamond"/>
          <w:sz w:val="24"/>
          <w:szCs w:val="24"/>
          <w:lang w:val="en-US"/>
        </w:rPr>
        <w:t xml:space="preserve"> duty to do so)</w:t>
      </w:r>
      <w:r w:rsidR="00896F59">
        <w:rPr>
          <w:rFonts w:ascii="Garamond" w:hAnsi="Garamond"/>
          <w:sz w:val="24"/>
          <w:szCs w:val="24"/>
          <w:lang w:val="en-US"/>
        </w:rPr>
        <w:t>,</w:t>
      </w:r>
      <w:r w:rsidR="003B5118" w:rsidRPr="00D56AF5">
        <w:rPr>
          <w:rStyle w:val="FootnoteReference"/>
          <w:rFonts w:ascii="Garamond" w:hAnsi="Garamond"/>
          <w:sz w:val="24"/>
          <w:szCs w:val="24"/>
          <w:lang w:val="en-US"/>
        </w:rPr>
        <w:footnoteReference w:id="62"/>
      </w:r>
      <w:r w:rsidR="001757B6" w:rsidRPr="00D56AF5">
        <w:rPr>
          <w:rFonts w:ascii="Garamond" w:hAnsi="Garamond"/>
          <w:sz w:val="24"/>
          <w:szCs w:val="24"/>
          <w:lang w:val="en-US"/>
        </w:rPr>
        <w:t xml:space="preserve"> </w:t>
      </w:r>
      <w:r w:rsidR="00896F59">
        <w:rPr>
          <w:rFonts w:ascii="Garamond" w:hAnsi="Garamond"/>
          <w:sz w:val="24"/>
          <w:szCs w:val="24"/>
          <w:lang w:val="en-US"/>
        </w:rPr>
        <w:t xml:space="preserve">which has </w:t>
      </w:r>
      <w:r w:rsidR="001757B6" w:rsidRPr="00D56AF5">
        <w:rPr>
          <w:rFonts w:ascii="Garamond" w:hAnsi="Garamond"/>
          <w:sz w:val="24"/>
          <w:szCs w:val="24"/>
          <w:lang w:val="en-US"/>
        </w:rPr>
        <w:t>served as a justification for humanitarian interventions and responses in Libya, Liberia, Mali</w:t>
      </w:r>
      <w:r w:rsidR="00896F59">
        <w:rPr>
          <w:rFonts w:ascii="Garamond" w:hAnsi="Garamond"/>
          <w:sz w:val="24"/>
          <w:szCs w:val="24"/>
          <w:lang w:val="en-US"/>
        </w:rPr>
        <w:t xml:space="preserve">, </w:t>
      </w:r>
      <w:r w:rsidR="001757B6" w:rsidRPr="00D56AF5">
        <w:rPr>
          <w:rFonts w:ascii="Garamond" w:hAnsi="Garamond"/>
          <w:sz w:val="24"/>
          <w:szCs w:val="24"/>
          <w:lang w:val="en-US"/>
        </w:rPr>
        <w:t xml:space="preserve">and Somalia, </w:t>
      </w:r>
      <w:r w:rsidR="00512937" w:rsidRPr="00512937">
        <w:rPr>
          <w:rFonts w:ascii="Garamond" w:hAnsi="Garamond"/>
          <w:i/>
          <w:iCs/>
          <w:sz w:val="24"/>
          <w:szCs w:val="24"/>
          <w:lang w:val="en-US"/>
        </w:rPr>
        <w:t>inter alia</w:t>
      </w:r>
      <w:r w:rsidR="001757B6" w:rsidRPr="00D56AF5">
        <w:rPr>
          <w:rFonts w:ascii="Garamond" w:hAnsi="Garamond"/>
          <w:sz w:val="24"/>
          <w:szCs w:val="24"/>
          <w:lang w:val="en-US"/>
        </w:rPr>
        <w:t>.</w:t>
      </w:r>
      <w:r w:rsidR="001757B6" w:rsidRPr="00D56AF5">
        <w:rPr>
          <w:rStyle w:val="FootnoteReference"/>
          <w:rFonts w:ascii="Garamond" w:hAnsi="Garamond"/>
          <w:sz w:val="24"/>
          <w:szCs w:val="24"/>
          <w:lang w:val="en-US"/>
        </w:rPr>
        <w:footnoteReference w:id="63"/>
      </w:r>
      <w:r w:rsidR="00073C1A" w:rsidRPr="00D56AF5">
        <w:rPr>
          <w:rFonts w:ascii="Garamond" w:hAnsi="Garamond"/>
          <w:sz w:val="24"/>
          <w:szCs w:val="24"/>
          <w:lang w:val="en-US"/>
        </w:rPr>
        <w:t xml:space="preserve"> </w:t>
      </w:r>
    </w:p>
    <w:p w14:paraId="648F3578" w14:textId="7EB87555" w:rsidR="00896F59" w:rsidRDefault="00DE50FB" w:rsidP="001340AF">
      <w:pPr>
        <w:spacing w:after="120" w:line="480" w:lineRule="auto"/>
        <w:jc w:val="both"/>
        <w:rPr>
          <w:rFonts w:ascii="Garamond" w:hAnsi="Garamond"/>
          <w:sz w:val="24"/>
          <w:szCs w:val="24"/>
          <w:lang w:val="en-US"/>
        </w:rPr>
      </w:pPr>
      <w:r w:rsidRPr="00D56AF5">
        <w:rPr>
          <w:rFonts w:ascii="Garamond" w:hAnsi="Garamond"/>
          <w:sz w:val="24"/>
          <w:szCs w:val="24"/>
          <w:lang w:val="en-US"/>
        </w:rPr>
        <w:t>Th</w:t>
      </w:r>
      <w:r w:rsidR="0052055A" w:rsidRPr="00D56AF5">
        <w:rPr>
          <w:rFonts w:ascii="Garamond" w:hAnsi="Garamond"/>
          <w:sz w:val="24"/>
          <w:szCs w:val="24"/>
          <w:lang w:val="en-US"/>
        </w:rPr>
        <w:t>erefore</w:t>
      </w:r>
      <w:r w:rsidRPr="00D56AF5">
        <w:rPr>
          <w:rFonts w:ascii="Garamond" w:hAnsi="Garamond"/>
          <w:sz w:val="24"/>
          <w:szCs w:val="24"/>
          <w:lang w:val="en-US"/>
        </w:rPr>
        <w:t>, rules</w:t>
      </w:r>
      <w:r w:rsidR="00DB7490" w:rsidRPr="00D56AF5">
        <w:rPr>
          <w:rFonts w:ascii="Garamond" w:hAnsi="Garamond"/>
          <w:sz w:val="24"/>
          <w:szCs w:val="24"/>
          <w:lang w:val="en-US"/>
        </w:rPr>
        <w:t xml:space="preserve"> </w:t>
      </w:r>
      <w:r w:rsidR="00800C4E" w:rsidRPr="00D56AF5">
        <w:rPr>
          <w:rFonts w:ascii="Garamond" w:hAnsi="Garamond"/>
          <w:sz w:val="24"/>
          <w:szCs w:val="24"/>
          <w:lang w:val="en-US"/>
        </w:rPr>
        <w:t xml:space="preserve">of international law </w:t>
      </w:r>
      <w:r w:rsidR="00DB7490" w:rsidRPr="00D56AF5">
        <w:rPr>
          <w:rFonts w:ascii="Garamond" w:hAnsi="Garamond"/>
          <w:sz w:val="24"/>
          <w:szCs w:val="24"/>
          <w:lang w:val="en-US"/>
        </w:rPr>
        <w:t xml:space="preserve">confirm that sovereignty’s value and limits are </w:t>
      </w:r>
      <w:r w:rsidR="003A2391">
        <w:rPr>
          <w:rFonts w:ascii="Garamond" w:hAnsi="Garamond"/>
          <w:sz w:val="24"/>
          <w:szCs w:val="24"/>
          <w:lang w:val="en-US"/>
        </w:rPr>
        <w:t xml:space="preserve">circumscribed to the </w:t>
      </w:r>
      <w:r w:rsidR="00DB7490" w:rsidRPr="00D56AF5">
        <w:rPr>
          <w:rFonts w:ascii="Garamond" w:hAnsi="Garamond"/>
          <w:sz w:val="24"/>
          <w:szCs w:val="24"/>
          <w:lang w:val="en-US"/>
        </w:rPr>
        <w:t>promotion of the good of political communities</w:t>
      </w:r>
      <w:r w:rsidR="00885A17" w:rsidRPr="00D56AF5">
        <w:rPr>
          <w:rFonts w:ascii="Garamond" w:hAnsi="Garamond"/>
          <w:sz w:val="24"/>
          <w:szCs w:val="24"/>
          <w:lang w:val="en-US"/>
        </w:rPr>
        <w:t xml:space="preserve">. This functions as a </w:t>
      </w:r>
      <w:r w:rsidR="00BA5709" w:rsidRPr="00D56AF5">
        <w:rPr>
          <w:rFonts w:ascii="Garamond" w:hAnsi="Garamond"/>
          <w:sz w:val="24"/>
          <w:szCs w:val="24"/>
          <w:lang w:val="en-US"/>
        </w:rPr>
        <w:t>normative guide</w:t>
      </w:r>
      <w:r w:rsidR="00800C4E" w:rsidRPr="00D56AF5">
        <w:rPr>
          <w:rFonts w:ascii="Garamond" w:hAnsi="Garamond"/>
          <w:sz w:val="24"/>
          <w:szCs w:val="24"/>
          <w:lang w:val="en-US"/>
        </w:rPr>
        <w:t xml:space="preserve"> to </w:t>
      </w:r>
      <w:r w:rsidR="00D741A9">
        <w:rPr>
          <w:rFonts w:ascii="Garamond" w:hAnsi="Garamond"/>
          <w:sz w:val="24"/>
          <w:szCs w:val="24"/>
          <w:lang w:val="en-US"/>
        </w:rPr>
        <w:t xml:space="preserve">the </w:t>
      </w:r>
      <w:r w:rsidR="00800C4E" w:rsidRPr="00D56AF5">
        <w:rPr>
          <w:rFonts w:ascii="Garamond" w:hAnsi="Garamond"/>
          <w:sz w:val="24"/>
          <w:szCs w:val="24"/>
          <w:lang w:val="en-US"/>
        </w:rPr>
        <w:t>state</w:t>
      </w:r>
      <w:r w:rsidR="00D741A9">
        <w:rPr>
          <w:rFonts w:ascii="Garamond" w:hAnsi="Garamond"/>
          <w:sz w:val="24"/>
          <w:szCs w:val="24"/>
          <w:lang w:val="en-US"/>
        </w:rPr>
        <w:t>’s exercise of sovereignty</w:t>
      </w:r>
      <w:r w:rsidR="00DB7490" w:rsidRPr="00D56AF5">
        <w:rPr>
          <w:rFonts w:ascii="Garamond" w:hAnsi="Garamond"/>
          <w:sz w:val="24"/>
          <w:szCs w:val="24"/>
          <w:lang w:val="en-US"/>
        </w:rPr>
        <w:t>.</w:t>
      </w:r>
    </w:p>
    <w:p w14:paraId="45B983E2" w14:textId="5E7048AD" w:rsidR="00896F59" w:rsidRPr="00896F59" w:rsidRDefault="00896F59" w:rsidP="00B679CD">
      <w:pPr>
        <w:pStyle w:val="Heading3"/>
        <w:numPr>
          <w:ilvl w:val="2"/>
          <w:numId w:val="35"/>
        </w:numPr>
        <w:rPr>
          <w:lang w:val="en-US"/>
        </w:rPr>
      </w:pPr>
      <w:bookmarkStart w:id="10" w:name="_Toc191740727"/>
      <w:r>
        <w:rPr>
          <w:lang w:val="en-US"/>
        </w:rPr>
        <w:t>Sovereign authority is reconcilable with the authority of international law</w:t>
      </w:r>
      <w:bookmarkEnd w:id="10"/>
      <w:r>
        <w:rPr>
          <w:lang w:val="en-US"/>
        </w:rPr>
        <w:t xml:space="preserve"> </w:t>
      </w:r>
    </w:p>
    <w:p w14:paraId="64580156" w14:textId="1BDBE895" w:rsidR="00E9006F" w:rsidRPr="00D56AF5" w:rsidRDefault="00896F59" w:rsidP="001340AF">
      <w:pPr>
        <w:spacing w:after="120" w:line="480" w:lineRule="auto"/>
        <w:jc w:val="both"/>
        <w:rPr>
          <w:rFonts w:ascii="Garamond" w:hAnsi="Garamond"/>
          <w:sz w:val="24"/>
          <w:szCs w:val="24"/>
          <w:lang w:val="en-US"/>
        </w:rPr>
      </w:pPr>
      <w:r w:rsidRPr="00896F59">
        <w:rPr>
          <w:rFonts w:ascii="Garamond" w:hAnsi="Garamond"/>
          <w:sz w:val="24"/>
          <w:szCs w:val="24"/>
          <w:lang w:val="en-US"/>
        </w:rPr>
        <w:t>The</w:t>
      </w:r>
      <w:r>
        <w:rPr>
          <w:rFonts w:ascii="Garamond" w:hAnsi="Garamond"/>
          <w:b/>
          <w:bCs/>
          <w:sz w:val="24"/>
          <w:szCs w:val="24"/>
          <w:lang w:val="en-US"/>
        </w:rPr>
        <w:t xml:space="preserve"> </w:t>
      </w:r>
      <w:r w:rsidR="008C733C" w:rsidRPr="00D56AF5">
        <w:rPr>
          <w:rFonts w:ascii="Garamond" w:hAnsi="Garamond"/>
          <w:sz w:val="24"/>
          <w:szCs w:val="24"/>
          <w:lang w:val="en-US"/>
        </w:rPr>
        <w:t xml:space="preserve">authority of international law is </w:t>
      </w:r>
      <w:r w:rsidR="008238D6">
        <w:rPr>
          <w:rFonts w:ascii="Garamond" w:hAnsi="Garamond"/>
          <w:sz w:val="24"/>
          <w:szCs w:val="24"/>
          <w:lang w:val="en-US"/>
        </w:rPr>
        <w:t>reconcilable</w:t>
      </w:r>
      <w:r w:rsidR="008C733C" w:rsidRPr="00D56AF5">
        <w:rPr>
          <w:rFonts w:ascii="Garamond" w:hAnsi="Garamond"/>
          <w:sz w:val="24"/>
          <w:szCs w:val="24"/>
          <w:lang w:val="en-US"/>
        </w:rPr>
        <w:t xml:space="preserve"> with</w:t>
      </w:r>
      <w:r w:rsidR="008238D6">
        <w:rPr>
          <w:rFonts w:ascii="Garamond" w:hAnsi="Garamond"/>
          <w:sz w:val="24"/>
          <w:szCs w:val="24"/>
          <w:lang w:val="en-US"/>
        </w:rPr>
        <w:t xml:space="preserve"> the concept of</w:t>
      </w:r>
      <w:r w:rsidR="008C733C" w:rsidRPr="00D56AF5">
        <w:rPr>
          <w:rFonts w:ascii="Garamond" w:hAnsi="Garamond"/>
          <w:sz w:val="24"/>
          <w:szCs w:val="24"/>
          <w:lang w:val="en-US"/>
        </w:rPr>
        <w:t xml:space="preserve"> sovereignt</w:t>
      </w:r>
      <w:r w:rsidR="00512577" w:rsidRPr="00D56AF5">
        <w:rPr>
          <w:rFonts w:ascii="Garamond" w:hAnsi="Garamond"/>
          <w:sz w:val="24"/>
          <w:szCs w:val="24"/>
          <w:lang w:val="en-US"/>
        </w:rPr>
        <w:t xml:space="preserve">y. </w:t>
      </w:r>
      <w:r w:rsidR="00605C11">
        <w:rPr>
          <w:rFonts w:ascii="Garamond" w:hAnsi="Garamond"/>
          <w:sz w:val="24"/>
          <w:szCs w:val="24"/>
          <w:lang w:val="en-US"/>
        </w:rPr>
        <w:t xml:space="preserve">This is </w:t>
      </w:r>
      <w:r w:rsidR="000855C9" w:rsidRPr="00D56AF5">
        <w:rPr>
          <w:rFonts w:ascii="Garamond" w:hAnsi="Garamond"/>
          <w:sz w:val="24"/>
          <w:szCs w:val="24"/>
          <w:lang w:val="en-US"/>
        </w:rPr>
        <w:t xml:space="preserve">possible because of the distinction between </w:t>
      </w:r>
      <w:r w:rsidR="001A3C18" w:rsidRPr="00D56AF5">
        <w:rPr>
          <w:rFonts w:ascii="Garamond" w:hAnsi="Garamond"/>
          <w:sz w:val="24"/>
          <w:szCs w:val="24"/>
          <w:lang w:val="en-US"/>
        </w:rPr>
        <w:t xml:space="preserve">the </w:t>
      </w:r>
      <w:proofErr w:type="spellStart"/>
      <w:r w:rsidR="001A3C18" w:rsidRPr="00D56AF5">
        <w:rPr>
          <w:rFonts w:ascii="Garamond" w:hAnsi="Garamond"/>
          <w:sz w:val="24"/>
          <w:szCs w:val="24"/>
          <w:lang w:val="en-US"/>
        </w:rPr>
        <w:t>potestas</w:t>
      </w:r>
      <w:proofErr w:type="spellEnd"/>
      <w:r w:rsidR="001A3C18" w:rsidRPr="00D56AF5">
        <w:rPr>
          <w:rFonts w:ascii="Garamond" w:hAnsi="Garamond"/>
          <w:sz w:val="24"/>
          <w:szCs w:val="24"/>
          <w:lang w:val="en-US"/>
        </w:rPr>
        <w:t xml:space="preserve"> </w:t>
      </w:r>
      <w:r w:rsidR="005C0532" w:rsidRPr="00D56AF5">
        <w:rPr>
          <w:rFonts w:ascii="Garamond" w:hAnsi="Garamond"/>
          <w:sz w:val="24"/>
          <w:szCs w:val="24"/>
          <w:lang w:val="en-US"/>
        </w:rPr>
        <w:t xml:space="preserve">and </w:t>
      </w:r>
      <w:r w:rsidR="001A3C18" w:rsidRPr="00D56AF5">
        <w:rPr>
          <w:rFonts w:ascii="Garamond" w:hAnsi="Garamond"/>
          <w:sz w:val="24"/>
          <w:szCs w:val="24"/>
          <w:lang w:val="en-US"/>
        </w:rPr>
        <w:t xml:space="preserve">the </w:t>
      </w:r>
      <w:proofErr w:type="spellStart"/>
      <w:r w:rsidR="00000F6C" w:rsidRPr="00D56AF5">
        <w:rPr>
          <w:rFonts w:ascii="Garamond" w:hAnsi="Garamond"/>
          <w:sz w:val="24"/>
          <w:szCs w:val="24"/>
          <w:lang w:val="en-US"/>
        </w:rPr>
        <w:t>potentia</w:t>
      </w:r>
      <w:proofErr w:type="spellEnd"/>
      <w:r w:rsidR="00000F6C" w:rsidRPr="00D56AF5">
        <w:rPr>
          <w:rFonts w:ascii="Garamond" w:hAnsi="Garamond"/>
          <w:sz w:val="24"/>
          <w:szCs w:val="24"/>
          <w:lang w:val="en-US"/>
        </w:rPr>
        <w:t>,</w:t>
      </w:r>
      <w:r w:rsidR="00605C11">
        <w:rPr>
          <w:rFonts w:ascii="Garamond" w:hAnsi="Garamond"/>
          <w:sz w:val="24"/>
          <w:szCs w:val="24"/>
          <w:lang w:val="en-US"/>
        </w:rPr>
        <w:t xml:space="preserve"> or a distinction between </w:t>
      </w:r>
      <w:r w:rsidR="00E9006F" w:rsidRPr="00D56AF5">
        <w:rPr>
          <w:rFonts w:ascii="Garamond" w:hAnsi="Garamond"/>
          <w:sz w:val="24"/>
          <w:szCs w:val="24"/>
          <w:lang w:val="en-US"/>
        </w:rPr>
        <w:t xml:space="preserve">‘the possession of sovereignty </w:t>
      </w:r>
      <w:r w:rsidR="00E9006F" w:rsidRPr="00D56AF5">
        <w:rPr>
          <w:rFonts w:ascii="Garamond" w:hAnsi="Garamond"/>
          <w:i/>
          <w:iCs/>
          <w:sz w:val="24"/>
          <w:szCs w:val="24"/>
          <w:lang w:val="en-US"/>
        </w:rPr>
        <w:t xml:space="preserve">in </w:t>
      </w:r>
      <w:proofErr w:type="spellStart"/>
      <w:r w:rsidR="00E9006F" w:rsidRPr="00D56AF5">
        <w:rPr>
          <w:rFonts w:ascii="Garamond" w:hAnsi="Garamond"/>
          <w:i/>
          <w:iCs/>
          <w:sz w:val="24"/>
          <w:szCs w:val="24"/>
          <w:lang w:val="en-US"/>
        </w:rPr>
        <w:t>abstracto</w:t>
      </w:r>
      <w:proofErr w:type="spellEnd"/>
      <w:r w:rsidR="00E9006F" w:rsidRPr="00D56AF5">
        <w:rPr>
          <w:rFonts w:ascii="Garamond" w:hAnsi="Garamond"/>
          <w:i/>
          <w:iCs/>
          <w:sz w:val="24"/>
          <w:szCs w:val="24"/>
          <w:lang w:val="en-US"/>
        </w:rPr>
        <w:t xml:space="preserve">, </w:t>
      </w:r>
      <w:r w:rsidR="00E9006F" w:rsidRPr="00D56AF5">
        <w:rPr>
          <w:rFonts w:ascii="Garamond" w:hAnsi="Garamond"/>
          <w:sz w:val="24"/>
          <w:szCs w:val="24"/>
          <w:lang w:val="en-US"/>
        </w:rPr>
        <w:t xml:space="preserve">and the exercise of sovereignty </w:t>
      </w:r>
      <w:r w:rsidR="00E9006F" w:rsidRPr="00D56AF5">
        <w:rPr>
          <w:rFonts w:ascii="Garamond" w:hAnsi="Garamond"/>
          <w:i/>
          <w:iCs/>
          <w:sz w:val="24"/>
          <w:szCs w:val="24"/>
          <w:lang w:val="en-US"/>
        </w:rPr>
        <w:t xml:space="preserve">in </w:t>
      </w:r>
      <w:proofErr w:type="spellStart"/>
      <w:r w:rsidR="00E9006F" w:rsidRPr="00D56AF5">
        <w:rPr>
          <w:rFonts w:ascii="Garamond" w:hAnsi="Garamond"/>
          <w:i/>
          <w:iCs/>
          <w:sz w:val="24"/>
          <w:szCs w:val="24"/>
          <w:lang w:val="en-US"/>
        </w:rPr>
        <w:t>concreto</w:t>
      </w:r>
      <w:proofErr w:type="spellEnd"/>
      <w:r w:rsidR="00E9006F" w:rsidRPr="00D56AF5">
        <w:rPr>
          <w:rFonts w:ascii="Garamond" w:hAnsi="Garamond"/>
          <w:sz w:val="24"/>
          <w:szCs w:val="24"/>
          <w:lang w:val="en-US"/>
        </w:rPr>
        <w:t>’,</w:t>
      </w:r>
      <w:r w:rsidR="00E9006F" w:rsidRPr="00D56AF5">
        <w:rPr>
          <w:rStyle w:val="FootnoteReference"/>
          <w:rFonts w:ascii="Garamond" w:hAnsi="Garamond"/>
          <w:sz w:val="24"/>
          <w:szCs w:val="24"/>
          <w:lang w:val="en-US"/>
        </w:rPr>
        <w:footnoteReference w:id="64"/>
      </w:r>
      <w:r w:rsidR="00E9006F" w:rsidRPr="00D56AF5">
        <w:rPr>
          <w:rFonts w:ascii="Garamond" w:hAnsi="Garamond"/>
          <w:sz w:val="24"/>
          <w:szCs w:val="24"/>
          <w:lang w:val="en-US"/>
        </w:rPr>
        <w:t xml:space="preserve"> </w:t>
      </w:r>
      <w:r w:rsidR="00605C11">
        <w:rPr>
          <w:rFonts w:ascii="Garamond" w:hAnsi="Garamond"/>
          <w:sz w:val="24"/>
          <w:szCs w:val="24"/>
          <w:lang w:val="en-US"/>
        </w:rPr>
        <w:t xml:space="preserve">which </w:t>
      </w:r>
      <w:r w:rsidR="00E9006F" w:rsidRPr="00D56AF5">
        <w:rPr>
          <w:rFonts w:ascii="Garamond" w:hAnsi="Garamond"/>
          <w:sz w:val="24"/>
          <w:szCs w:val="24"/>
          <w:lang w:val="en-US"/>
        </w:rPr>
        <w:t>allows for the sharing</w:t>
      </w:r>
      <w:r w:rsidR="00E9006F" w:rsidRPr="00D56AF5">
        <w:rPr>
          <w:rStyle w:val="FootnoteReference"/>
          <w:rFonts w:ascii="Garamond" w:hAnsi="Garamond"/>
          <w:sz w:val="24"/>
          <w:szCs w:val="24"/>
          <w:lang w:val="en-US"/>
        </w:rPr>
        <w:footnoteReference w:id="65"/>
      </w:r>
      <w:r w:rsidR="00E9006F" w:rsidRPr="00D56AF5">
        <w:rPr>
          <w:rFonts w:ascii="Garamond" w:hAnsi="Garamond"/>
          <w:sz w:val="24"/>
          <w:szCs w:val="24"/>
          <w:lang w:val="en-US"/>
        </w:rPr>
        <w:t xml:space="preserve"> and restriction of sovereign powers by virtue of the possession of sovereignty itself.</w:t>
      </w:r>
      <w:r w:rsidR="00E9006F" w:rsidRPr="00D56AF5">
        <w:rPr>
          <w:rStyle w:val="FootnoteReference"/>
          <w:rFonts w:ascii="Garamond" w:hAnsi="Garamond"/>
          <w:sz w:val="24"/>
          <w:szCs w:val="24"/>
          <w:lang w:val="en-US"/>
        </w:rPr>
        <w:footnoteReference w:id="66"/>
      </w:r>
      <w:r w:rsidR="00E9006F" w:rsidRPr="00D56AF5">
        <w:rPr>
          <w:rFonts w:ascii="Garamond" w:hAnsi="Garamond"/>
          <w:sz w:val="24"/>
          <w:szCs w:val="24"/>
          <w:lang w:val="en-US"/>
        </w:rPr>
        <w:t xml:space="preserve"> As a result, accepting a restriction on sovereign rights does not amount to a restriction on or a diminution in sovereignty</w:t>
      </w:r>
      <w:r w:rsidR="00E9006F" w:rsidRPr="00D56AF5">
        <w:rPr>
          <w:rFonts w:ascii="Garamond" w:hAnsi="Garamond"/>
          <w:i/>
          <w:iCs/>
          <w:sz w:val="24"/>
          <w:szCs w:val="24"/>
          <w:lang w:val="en-US"/>
        </w:rPr>
        <w:t xml:space="preserve"> </w:t>
      </w:r>
      <w:r w:rsidR="00E9006F" w:rsidRPr="00D56AF5">
        <w:rPr>
          <w:rFonts w:ascii="Garamond" w:hAnsi="Garamond"/>
          <w:sz w:val="24"/>
          <w:szCs w:val="24"/>
          <w:lang w:val="en-US"/>
        </w:rPr>
        <w:t xml:space="preserve">per se, but rather is </w:t>
      </w:r>
      <w:r w:rsidR="00BF3A57" w:rsidRPr="00D56AF5">
        <w:rPr>
          <w:rFonts w:ascii="Garamond" w:hAnsi="Garamond"/>
          <w:sz w:val="24"/>
          <w:szCs w:val="24"/>
          <w:lang w:val="en-US"/>
        </w:rPr>
        <w:t xml:space="preserve">the function of a </w:t>
      </w:r>
      <w:r w:rsidR="00E9006F" w:rsidRPr="00D56AF5">
        <w:rPr>
          <w:rFonts w:ascii="Garamond" w:hAnsi="Garamond"/>
          <w:sz w:val="24"/>
          <w:szCs w:val="24"/>
          <w:lang w:val="en-US"/>
        </w:rPr>
        <w:t xml:space="preserve">competence that emanates from sovereignty. </w:t>
      </w:r>
    </w:p>
    <w:p w14:paraId="332E4174" w14:textId="10A7BA97" w:rsidR="00AF3B1D" w:rsidRDefault="000E2E67" w:rsidP="001340AF">
      <w:pPr>
        <w:spacing w:after="120" w:line="480" w:lineRule="auto"/>
        <w:jc w:val="both"/>
        <w:rPr>
          <w:rFonts w:ascii="Garamond" w:hAnsi="Garamond"/>
          <w:sz w:val="24"/>
          <w:szCs w:val="24"/>
          <w:lang w:val="en-US"/>
        </w:rPr>
      </w:pPr>
      <w:r>
        <w:rPr>
          <w:rFonts w:ascii="Garamond" w:hAnsi="Garamond"/>
          <w:sz w:val="24"/>
          <w:szCs w:val="24"/>
          <w:lang w:val="en-US"/>
        </w:rPr>
        <w:t>Thus</w:t>
      </w:r>
      <w:r w:rsidR="002C02E8" w:rsidRPr="00D56AF5">
        <w:rPr>
          <w:rFonts w:ascii="Garamond" w:hAnsi="Garamond"/>
          <w:sz w:val="24"/>
          <w:szCs w:val="24"/>
          <w:lang w:val="en-US"/>
        </w:rPr>
        <w:t>, as</w:t>
      </w:r>
      <w:r w:rsidR="00A23F80" w:rsidRPr="00D56AF5">
        <w:rPr>
          <w:rFonts w:ascii="Garamond" w:hAnsi="Garamond"/>
          <w:sz w:val="24"/>
          <w:szCs w:val="24"/>
          <w:lang w:val="en-US"/>
        </w:rPr>
        <w:t xml:space="preserve"> a first step, the </w:t>
      </w:r>
      <w:proofErr w:type="spellStart"/>
      <w:r w:rsidR="0063397B" w:rsidRPr="00D56AF5">
        <w:rPr>
          <w:rFonts w:ascii="Garamond" w:hAnsi="Garamond"/>
          <w:sz w:val="24"/>
          <w:szCs w:val="24"/>
          <w:lang w:val="en-US"/>
        </w:rPr>
        <w:t>potestas</w:t>
      </w:r>
      <w:r w:rsidR="000D11A5" w:rsidRPr="00D56AF5">
        <w:rPr>
          <w:rFonts w:ascii="Garamond" w:hAnsi="Garamond"/>
          <w:sz w:val="24"/>
          <w:szCs w:val="24"/>
          <w:lang w:val="en-US"/>
        </w:rPr>
        <w:t>-</w:t>
      </w:r>
      <w:r w:rsidR="00F46C93" w:rsidRPr="00D56AF5">
        <w:rPr>
          <w:rFonts w:ascii="Garamond" w:hAnsi="Garamond"/>
          <w:sz w:val="24"/>
          <w:szCs w:val="24"/>
          <w:lang w:val="en-US"/>
        </w:rPr>
        <w:t>potentia</w:t>
      </w:r>
      <w:proofErr w:type="spellEnd"/>
      <w:r w:rsidR="00F46C93" w:rsidRPr="00D56AF5">
        <w:rPr>
          <w:rFonts w:ascii="Garamond" w:hAnsi="Garamond"/>
          <w:sz w:val="24"/>
          <w:szCs w:val="24"/>
          <w:lang w:val="en-US"/>
        </w:rPr>
        <w:t xml:space="preserve"> distinction</w:t>
      </w:r>
      <w:r w:rsidR="00C97DB1" w:rsidRPr="00D56AF5">
        <w:rPr>
          <w:rFonts w:ascii="Garamond" w:hAnsi="Garamond"/>
          <w:sz w:val="24"/>
          <w:szCs w:val="24"/>
          <w:lang w:val="en-US"/>
        </w:rPr>
        <w:t xml:space="preserve"> explains </w:t>
      </w:r>
      <w:r w:rsidR="00C97DB1" w:rsidRPr="00770DF9">
        <w:rPr>
          <w:rFonts w:ascii="Garamond" w:hAnsi="Garamond"/>
          <w:sz w:val="24"/>
          <w:szCs w:val="24"/>
          <w:lang w:val="en-US"/>
        </w:rPr>
        <w:t>how</w:t>
      </w:r>
      <w:r w:rsidR="00C97DB1" w:rsidRPr="00D56AF5">
        <w:rPr>
          <w:rFonts w:ascii="Garamond" w:hAnsi="Garamond"/>
          <w:sz w:val="24"/>
          <w:szCs w:val="24"/>
          <w:lang w:val="en-US"/>
        </w:rPr>
        <w:t xml:space="preserve"> </w:t>
      </w:r>
      <w:r w:rsidR="0063397B" w:rsidRPr="00D56AF5">
        <w:rPr>
          <w:rFonts w:ascii="Garamond" w:hAnsi="Garamond"/>
          <w:sz w:val="24"/>
          <w:szCs w:val="24"/>
          <w:lang w:val="en-US"/>
        </w:rPr>
        <w:t xml:space="preserve">legal and political authority can </w:t>
      </w:r>
      <w:r w:rsidR="00152A50" w:rsidRPr="00D56AF5">
        <w:rPr>
          <w:rFonts w:ascii="Garamond" w:hAnsi="Garamond"/>
          <w:sz w:val="24"/>
          <w:szCs w:val="24"/>
          <w:lang w:val="en-US"/>
        </w:rPr>
        <w:t>together</w:t>
      </w:r>
      <w:r w:rsidR="0063397B" w:rsidRPr="00D56AF5">
        <w:rPr>
          <w:rFonts w:ascii="Garamond" w:hAnsi="Garamond"/>
          <w:sz w:val="24"/>
          <w:szCs w:val="24"/>
          <w:lang w:val="en-US"/>
        </w:rPr>
        <w:t xml:space="preserve"> comprise sovereignty</w:t>
      </w:r>
      <w:r w:rsidR="00A15C5A" w:rsidRPr="00D56AF5">
        <w:rPr>
          <w:rFonts w:ascii="Garamond" w:hAnsi="Garamond"/>
          <w:sz w:val="24"/>
          <w:szCs w:val="24"/>
          <w:lang w:val="en-US"/>
        </w:rPr>
        <w:t xml:space="preserve">, and </w:t>
      </w:r>
      <w:r w:rsidR="00A15C5A" w:rsidRPr="00770DF9">
        <w:rPr>
          <w:rFonts w:ascii="Garamond" w:hAnsi="Garamond"/>
          <w:sz w:val="24"/>
          <w:szCs w:val="24"/>
          <w:lang w:val="en-US"/>
        </w:rPr>
        <w:t>how</w:t>
      </w:r>
      <w:r w:rsidR="00A15C5A" w:rsidRPr="00D56AF5">
        <w:rPr>
          <w:rFonts w:ascii="Garamond" w:hAnsi="Garamond"/>
          <w:sz w:val="24"/>
          <w:szCs w:val="24"/>
          <w:lang w:val="en-US"/>
        </w:rPr>
        <w:t xml:space="preserve"> </w:t>
      </w:r>
      <w:r w:rsidR="005D47CB" w:rsidRPr="00D56AF5">
        <w:rPr>
          <w:rFonts w:ascii="Garamond" w:hAnsi="Garamond"/>
          <w:sz w:val="24"/>
          <w:szCs w:val="24"/>
          <w:lang w:val="en-US"/>
        </w:rPr>
        <w:t>a state</w:t>
      </w:r>
      <w:r w:rsidR="00A15C5A" w:rsidRPr="00D56AF5">
        <w:rPr>
          <w:rFonts w:ascii="Garamond" w:hAnsi="Garamond"/>
          <w:sz w:val="24"/>
          <w:szCs w:val="24"/>
          <w:lang w:val="en-US"/>
        </w:rPr>
        <w:t xml:space="preserve"> </w:t>
      </w:r>
      <w:r w:rsidR="004D1B2C" w:rsidRPr="00D56AF5">
        <w:rPr>
          <w:rFonts w:ascii="Garamond" w:hAnsi="Garamond"/>
          <w:sz w:val="24"/>
          <w:szCs w:val="24"/>
          <w:lang w:val="en-US"/>
        </w:rPr>
        <w:t>can be subject</w:t>
      </w:r>
      <w:r w:rsidR="00530A54" w:rsidRPr="00D56AF5">
        <w:rPr>
          <w:rFonts w:ascii="Garamond" w:hAnsi="Garamond"/>
          <w:sz w:val="24"/>
          <w:szCs w:val="24"/>
          <w:lang w:val="en-US"/>
        </w:rPr>
        <w:t xml:space="preserve"> </w:t>
      </w:r>
      <w:r w:rsidR="004D1B2C" w:rsidRPr="00D56AF5">
        <w:rPr>
          <w:rFonts w:ascii="Garamond" w:hAnsi="Garamond"/>
          <w:sz w:val="24"/>
          <w:szCs w:val="24"/>
          <w:lang w:val="en-US"/>
        </w:rPr>
        <w:t xml:space="preserve">to the </w:t>
      </w:r>
      <w:r w:rsidR="00A15C5A" w:rsidRPr="00D56AF5">
        <w:rPr>
          <w:rFonts w:ascii="Garamond" w:hAnsi="Garamond"/>
          <w:sz w:val="24"/>
          <w:szCs w:val="24"/>
          <w:lang w:val="en-US"/>
        </w:rPr>
        <w:t>authority of international law</w:t>
      </w:r>
      <w:r w:rsidR="007524E3" w:rsidRPr="00D56AF5">
        <w:rPr>
          <w:rFonts w:ascii="Garamond" w:hAnsi="Garamond"/>
          <w:sz w:val="24"/>
          <w:szCs w:val="24"/>
          <w:lang w:val="en-US"/>
        </w:rPr>
        <w:t xml:space="preserve">, </w:t>
      </w:r>
      <w:r w:rsidR="004D1B2C" w:rsidRPr="00D56AF5">
        <w:rPr>
          <w:rFonts w:ascii="Garamond" w:hAnsi="Garamond"/>
          <w:sz w:val="24"/>
          <w:szCs w:val="24"/>
          <w:lang w:val="en-US"/>
        </w:rPr>
        <w:t xml:space="preserve">without a loss of </w:t>
      </w:r>
      <w:r w:rsidR="005D47CB" w:rsidRPr="00D56AF5">
        <w:rPr>
          <w:rFonts w:ascii="Garamond" w:hAnsi="Garamond"/>
          <w:sz w:val="24"/>
          <w:szCs w:val="24"/>
          <w:lang w:val="en-US"/>
        </w:rPr>
        <w:t>sovereignty</w:t>
      </w:r>
      <w:r w:rsidR="0063397B" w:rsidRPr="00D56AF5">
        <w:rPr>
          <w:rFonts w:ascii="Garamond" w:hAnsi="Garamond"/>
          <w:sz w:val="24"/>
          <w:szCs w:val="24"/>
          <w:lang w:val="en-US"/>
        </w:rPr>
        <w:t>.</w:t>
      </w:r>
      <w:r w:rsidR="008238D6">
        <w:rPr>
          <w:rFonts w:ascii="Garamond" w:hAnsi="Garamond"/>
          <w:sz w:val="24"/>
          <w:szCs w:val="24"/>
          <w:lang w:val="en-US"/>
        </w:rPr>
        <w:t xml:space="preserve"> </w:t>
      </w:r>
      <w:r w:rsidR="008B7F9D" w:rsidRPr="00D56AF5">
        <w:rPr>
          <w:rFonts w:ascii="Garamond" w:hAnsi="Garamond"/>
          <w:sz w:val="24"/>
          <w:szCs w:val="24"/>
          <w:lang w:val="en-US"/>
        </w:rPr>
        <w:t>Nevertheless,</w:t>
      </w:r>
      <w:r w:rsidR="005409BD" w:rsidRPr="00D56AF5">
        <w:rPr>
          <w:rFonts w:ascii="Garamond" w:hAnsi="Garamond"/>
          <w:sz w:val="24"/>
          <w:szCs w:val="24"/>
          <w:lang w:val="en-US"/>
        </w:rPr>
        <w:t xml:space="preserve"> it does not explain </w:t>
      </w:r>
      <w:r w:rsidR="00AB1717" w:rsidRPr="00D56AF5">
        <w:rPr>
          <w:rFonts w:ascii="Garamond" w:hAnsi="Garamond"/>
          <w:i/>
          <w:iCs/>
          <w:sz w:val="24"/>
          <w:szCs w:val="24"/>
          <w:lang w:val="en-US"/>
        </w:rPr>
        <w:t>wh</w:t>
      </w:r>
      <w:r w:rsidR="008238D6">
        <w:rPr>
          <w:rFonts w:ascii="Garamond" w:hAnsi="Garamond"/>
          <w:i/>
          <w:iCs/>
          <w:sz w:val="24"/>
          <w:szCs w:val="24"/>
          <w:lang w:val="en-US"/>
        </w:rPr>
        <w:t>en</w:t>
      </w:r>
      <w:r w:rsidR="00AB1717" w:rsidRPr="00D56AF5">
        <w:rPr>
          <w:rFonts w:ascii="Garamond" w:hAnsi="Garamond"/>
          <w:i/>
          <w:iCs/>
          <w:sz w:val="24"/>
          <w:szCs w:val="24"/>
          <w:lang w:val="en-US"/>
        </w:rPr>
        <w:t xml:space="preserve"> </w:t>
      </w:r>
      <w:r w:rsidR="00005E57" w:rsidRPr="00D56AF5">
        <w:rPr>
          <w:rFonts w:ascii="Garamond" w:hAnsi="Garamond"/>
          <w:sz w:val="24"/>
          <w:szCs w:val="24"/>
          <w:lang w:val="en-US"/>
        </w:rPr>
        <w:t xml:space="preserve">international law </w:t>
      </w:r>
      <w:r w:rsidR="00FC2368" w:rsidRPr="00D56AF5">
        <w:rPr>
          <w:rFonts w:ascii="Garamond" w:hAnsi="Garamond"/>
          <w:sz w:val="24"/>
          <w:szCs w:val="24"/>
          <w:lang w:val="en-US"/>
        </w:rPr>
        <w:t xml:space="preserve">has </w:t>
      </w:r>
      <w:r w:rsidR="00005E57" w:rsidRPr="008238D6">
        <w:rPr>
          <w:rFonts w:ascii="Garamond" w:hAnsi="Garamond"/>
          <w:i/>
          <w:iCs/>
          <w:sz w:val="24"/>
          <w:szCs w:val="24"/>
          <w:lang w:val="en-US"/>
        </w:rPr>
        <w:t>authority</w:t>
      </w:r>
      <w:r w:rsidR="00005E57" w:rsidRPr="00D56AF5">
        <w:rPr>
          <w:rFonts w:ascii="Garamond" w:hAnsi="Garamond"/>
          <w:sz w:val="24"/>
          <w:szCs w:val="24"/>
          <w:lang w:val="en-US"/>
        </w:rPr>
        <w:t xml:space="preserve"> over</w:t>
      </w:r>
      <w:r w:rsidR="00322D26" w:rsidRPr="00D56AF5">
        <w:rPr>
          <w:rFonts w:ascii="Garamond" w:hAnsi="Garamond"/>
          <w:sz w:val="24"/>
          <w:szCs w:val="24"/>
          <w:lang w:val="en-US"/>
        </w:rPr>
        <w:t xml:space="preserve"> a state, and </w:t>
      </w:r>
      <w:r w:rsidR="00322D26" w:rsidRPr="008238D6">
        <w:rPr>
          <w:rFonts w:ascii="Garamond" w:hAnsi="Garamond"/>
          <w:i/>
          <w:iCs/>
          <w:sz w:val="24"/>
          <w:szCs w:val="24"/>
          <w:lang w:val="en-US"/>
        </w:rPr>
        <w:t>why</w:t>
      </w:r>
      <w:r w:rsidR="00322D26" w:rsidRPr="00D56AF5">
        <w:rPr>
          <w:rFonts w:ascii="Garamond" w:hAnsi="Garamond"/>
          <w:sz w:val="24"/>
          <w:szCs w:val="24"/>
          <w:lang w:val="en-US"/>
        </w:rPr>
        <w:t xml:space="preserve"> this is consistent with</w:t>
      </w:r>
      <w:r w:rsidR="00005E57" w:rsidRPr="00D56AF5">
        <w:rPr>
          <w:rFonts w:ascii="Garamond" w:hAnsi="Garamond"/>
          <w:sz w:val="24"/>
          <w:szCs w:val="24"/>
          <w:lang w:val="en-US"/>
        </w:rPr>
        <w:t xml:space="preserve"> sovereignty</w:t>
      </w:r>
      <w:r w:rsidR="0040326C" w:rsidRPr="00D56AF5">
        <w:rPr>
          <w:rFonts w:ascii="Garamond" w:hAnsi="Garamond"/>
          <w:sz w:val="24"/>
          <w:szCs w:val="24"/>
          <w:lang w:val="en-US"/>
        </w:rPr>
        <w:t>.</w:t>
      </w:r>
      <w:r w:rsidR="00322D26" w:rsidRPr="00D56AF5">
        <w:rPr>
          <w:rFonts w:ascii="Garamond" w:hAnsi="Garamond"/>
          <w:sz w:val="24"/>
          <w:szCs w:val="24"/>
          <w:lang w:val="en-US"/>
        </w:rPr>
        <w:t xml:space="preserve"> Further, </w:t>
      </w:r>
      <w:r w:rsidR="00F8286B" w:rsidRPr="00D56AF5">
        <w:rPr>
          <w:rFonts w:ascii="Garamond" w:hAnsi="Garamond"/>
          <w:sz w:val="24"/>
          <w:szCs w:val="24"/>
          <w:lang w:val="en-US"/>
        </w:rPr>
        <w:t xml:space="preserve">is there a point at which the </w:t>
      </w:r>
      <w:r w:rsidR="00F8286B" w:rsidRPr="00D56AF5">
        <w:rPr>
          <w:rFonts w:ascii="Garamond" w:hAnsi="Garamond"/>
          <w:sz w:val="24"/>
          <w:szCs w:val="24"/>
          <w:lang w:val="en-US"/>
        </w:rPr>
        <w:lastRenderedPageBreak/>
        <w:t>authority of international law begins to denude sovereignty?</w:t>
      </w:r>
      <w:r w:rsidR="0040326C" w:rsidRPr="00D56AF5">
        <w:rPr>
          <w:rFonts w:ascii="Garamond" w:hAnsi="Garamond"/>
          <w:sz w:val="24"/>
          <w:szCs w:val="24"/>
          <w:lang w:val="en-US"/>
        </w:rPr>
        <w:t xml:space="preserve"> Th</w:t>
      </w:r>
      <w:r w:rsidR="00322D26" w:rsidRPr="00D56AF5">
        <w:rPr>
          <w:rFonts w:ascii="Garamond" w:hAnsi="Garamond"/>
          <w:sz w:val="24"/>
          <w:szCs w:val="24"/>
          <w:lang w:val="en-US"/>
        </w:rPr>
        <w:t xml:space="preserve">ese are </w:t>
      </w:r>
      <w:r w:rsidR="0040326C" w:rsidRPr="00D56AF5">
        <w:rPr>
          <w:rFonts w:ascii="Garamond" w:hAnsi="Garamond"/>
          <w:sz w:val="24"/>
          <w:szCs w:val="24"/>
          <w:lang w:val="en-US"/>
        </w:rPr>
        <w:t>important question</w:t>
      </w:r>
      <w:r w:rsidR="00322D26" w:rsidRPr="00D56AF5">
        <w:rPr>
          <w:rFonts w:ascii="Garamond" w:hAnsi="Garamond"/>
          <w:sz w:val="24"/>
          <w:szCs w:val="24"/>
          <w:lang w:val="en-US"/>
        </w:rPr>
        <w:t>s</w:t>
      </w:r>
      <w:r w:rsidR="0040326C" w:rsidRPr="00D56AF5">
        <w:rPr>
          <w:rFonts w:ascii="Garamond" w:hAnsi="Garamond"/>
          <w:sz w:val="24"/>
          <w:szCs w:val="24"/>
          <w:lang w:val="en-US"/>
        </w:rPr>
        <w:t xml:space="preserve"> for the resolution of the paradox, and the one</w:t>
      </w:r>
      <w:r w:rsidR="003A6C9C" w:rsidRPr="00D56AF5">
        <w:rPr>
          <w:rFonts w:ascii="Garamond" w:hAnsi="Garamond"/>
          <w:sz w:val="24"/>
          <w:szCs w:val="24"/>
          <w:lang w:val="en-US"/>
        </w:rPr>
        <w:t>s</w:t>
      </w:r>
      <w:r w:rsidR="0040326C" w:rsidRPr="00D56AF5">
        <w:rPr>
          <w:rFonts w:ascii="Garamond" w:hAnsi="Garamond"/>
          <w:sz w:val="24"/>
          <w:szCs w:val="24"/>
          <w:lang w:val="en-US"/>
        </w:rPr>
        <w:t xml:space="preserve"> to which I now turn. </w:t>
      </w:r>
    </w:p>
    <w:p w14:paraId="4613F38A" w14:textId="77777777" w:rsidR="006528C1" w:rsidRPr="00D56AF5" w:rsidRDefault="006528C1" w:rsidP="001340AF">
      <w:pPr>
        <w:spacing w:after="120" w:line="480" w:lineRule="auto"/>
        <w:jc w:val="both"/>
        <w:rPr>
          <w:rFonts w:ascii="Garamond" w:hAnsi="Garamond"/>
          <w:sz w:val="24"/>
          <w:szCs w:val="24"/>
          <w:lang w:val="en-US"/>
        </w:rPr>
      </w:pPr>
    </w:p>
    <w:p w14:paraId="76C62C9A" w14:textId="1E27BDBD" w:rsidR="008874CA" w:rsidRPr="00D56AF5" w:rsidRDefault="008874CA" w:rsidP="001340AF">
      <w:pPr>
        <w:pStyle w:val="Heading2"/>
        <w:numPr>
          <w:ilvl w:val="1"/>
          <w:numId w:val="35"/>
        </w:numPr>
        <w:spacing w:line="480" w:lineRule="auto"/>
        <w:rPr>
          <w:szCs w:val="24"/>
          <w:lang w:val="en-US"/>
        </w:rPr>
      </w:pPr>
      <w:bookmarkStart w:id="11" w:name="_Toc169217164"/>
      <w:bookmarkStart w:id="12" w:name="_Toc191740728"/>
      <w:r w:rsidRPr="00D56AF5">
        <w:rPr>
          <w:szCs w:val="24"/>
          <w:lang w:val="en-US"/>
        </w:rPr>
        <w:t>The paradox of sovereignty</w:t>
      </w:r>
      <w:bookmarkEnd w:id="11"/>
      <w:r w:rsidRPr="00D56AF5">
        <w:rPr>
          <w:szCs w:val="24"/>
          <w:lang w:val="en-US"/>
        </w:rPr>
        <w:t xml:space="preserve"> </w:t>
      </w:r>
      <w:r w:rsidR="00770DF9">
        <w:rPr>
          <w:szCs w:val="24"/>
          <w:lang w:val="en-US"/>
        </w:rPr>
        <w:t>and voluntaristic consent theories</w:t>
      </w:r>
      <w:bookmarkEnd w:id="12"/>
      <w:r w:rsidR="00770DF9">
        <w:rPr>
          <w:szCs w:val="24"/>
          <w:lang w:val="en-US"/>
        </w:rPr>
        <w:t xml:space="preserve"> </w:t>
      </w:r>
    </w:p>
    <w:p w14:paraId="7D098175" w14:textId="75A6C2CD" w:rsidR="004C7093" w:rsidRPr="00D56AF5" w:rsidRDefault="00180818"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What explains the authority of international law over a sovereign state? </w:t>
      </w:r>
      <w:r w:rsidR="007B68B8" w:rsidRPr="00D56AF5">
        <w:rPr>
          <w:rFonts w:ascii="Garamond" w:hAnsi="Garamond"/>
          <w:sz w:val="24"/>
          <w:szCs w:val="24"/>
          <w:lang w:val="en-US"/>
        </w:rPr>
        <w:t xml:space="preserve">One </w:t>
      </w:r>
      <w:r w:rsidR="00015730" w:rsidRPr="00D56AF5">
        <w:rPr>
          <w:rFonts w:ascii="Garamond" w:hAnsi="Garamond"/>
          <w:sz w:val="24"/>
          <w:szCs w:val="24"/>
          <w:lang w:val="en-US"/>
        </w:rPr>
        <w:t>popular</w:t>
      </w:r>
      <w:r w:rsidR="007B68B8" w:rsidRPr="00D56AF5">
        <w:rPr>
          <w:rFonts w:ascii="Garamond" w:hAnsi="Garamond"/>
          <w:sz w:val="24"/>
          <w:szCs w:val="24"/>
          <w:lang w:val="en-US"/>
        </w:rPr>
        <w:t xml:space="preserve"> </w:t>
      </w:r>
      <w:r w:rsidR="00DE4939" w:rsidRPr="00D56AF5">
        <w:rPr>
          <w:rFonts w:ascii="Garamond" w:hAnsi="Garamond"/>
          <w:sz w:val="24"/>
          <w:szCs w:val="24"/>
          <w:lang w:val="en-US"/>
        </w:rPr>
        <w:t xml:space="preserve">account </w:t>
      </w:r>
      <w:r w:rsidR="007B68B8" w:rsidRPr="00D56AF5">
        <w:rPr>
          <w:rFonts w:ascii="Garamond" w:hAnsi="Garamond"/>
          <w:sz w:val="24"/>
          <w:szCs w:val="24"/>
          <w:lang w:val="en-US"/>
        </w:rPr>
        <w:t xml:space="preserve">is the state’s consent. </w:t>
      </w:r>
      <w:r w:rsidR="00EF26A9" w:rsidRPr="00D56AF5">
        <w:rPr>
          <w:rFonts w:ascii="Garamond" w:hAnsi="Garamond"/>
          <w:sz w:val="24"/>
          <w:szCs w:val="24"/>
          <w:lang w:val="en-US"/>
        </w:rPr>
        <w:t xml:space="preserve">Under </w:t>
      </w:r>
      <w:r w:rsidR="00770DF9">
        <w:rPr>
          <w:rFonts w:ascii="Garamond" w:hAnsi="Garamond"/>
          <w:sz w:val="24"/>
          <w:szCs w:val="24"/>
          <w:lang w:val="en-US"/>
        </w:rPr>
        <w:t xml:space="preserve">the </w:t>
      </w:r>
      <w:r w:rsidR="00EF26A9" w:rsidRPr="00D56AF5">
        <w:rPr>
          <w:rFonts w:ascii="Garamond" w:hAnsi="Garamond"/>
          <w:sz w:val="24"/>
          <w:szCs w:val="24"/>
          <w:lang w:val="en-US"/>
        </w:rPr>
        <w:t xml:space="preserve">consent paradigm, </w:t>
      </w:r>
      <w:r w:rsidR="00CE7286" w:rsidRPr="00D56AF5">
        <w:rPr>
          <w:rFonts w:ascii="Garamond" w:hAnsi="Garamond"/>
          <w:sz w:val="24"/>
          <w:szCs w:val="24"/>
          <w:lang w:val="en-US"/>
        </w:rPr>
        <w:t xml:space="preserve">state </w:t>
      </w:r>
      <w:r w:rsidR="00EF26A9" w:rsidRPr="00D56AF5">
        <w:rPr>
          <w:rFonts w:ascii="Garamond" w:hAnsi="Garamond"/>
          <w:sz w:val="24"/>
          <w:szCs w:val="24"/>
          <w:lang w:val="en-US"/>
        </w:rPr>
        <w:t>consent serve</w:t>
      </w:r>
      <w:r w:rsidR="00CE7286" w:rsidRPr="00D56AF5">
        <w:rPr>
          <w:rFonts w:ascii="Garamond" w:hAnsi="Garamond"/>
          <w:sz w:val="24"/>
          <w:szCs w:val="24"/>
          <w:lang w:val="en-US"/>
        </w:rPr>
        <w:t>s</w:t>
      </w:r>
      <w:r w:rsidR="00EF26A9" w:rsidRPr="00D56AF5">
        <w:rPr>
          <w:rFonts w:ascii="Garamond" w:hAnsi="Garamond"/>
          <w:sz w:val="24"/>
          <w:szCs w:val="24"/>
          <w:lang w:val="en-US"/>
        </w:rPr>
        <w:t xml:space="preserve"> as the basis of state obligations, and the powers that constitute sovereignty c</w:t>
      </w:r>
      <w:r w:rsidR="00C2361D" w:rsidRPr="00D56AF5">
        <w:rPr>
          <w:rFonts w:ascii="Garamond" w:hAnsi="Garamond"/>
          <w:sz w:val="24"/>
          <w:szCs w:val="24"/>
          <w:lang w:val="en-US"/>
        </w:rPr>
        <w:t xml:space="preserve">an </w:t>
      </w:r>
      <w:r w:rsidR="00EF26A9" w:rsidRPr="00D56AF5">
        <w:rPr>
          <w:rFonts w:ascii="Garamond" w:hAnsi="Garamond"/>
          <w:sz w:val="24"/>
          <w:szCs w:val="24"/>
          <w:lang w:val="en-US"/>
        </w:rPr>
        <w:t xml:space="preserve">technically be signed away, while a state </w:t>
      </w:r>
      <w:proofErr w:type="gramStart"/>
      <w:r w:rsidR="00EF26A9" w:rsidRPr="00D56AF5">
        <w:rPr>
          <w:rFonts w:ascii="Garamond" w:hAnsi="Garamond"/>
          <w:sz w:val="24"/>
          <w:szCs w:val="24"/>
          <w:lang w:val="en-US"/>
        </w:rPr>
        <w:t>still remai</w:t>
      </w:r>
      <w:r w:rsidR="00C2361D" w:rsidRPr="00D56AF5">
        <w:rPr>
          <w:rFonts w:ascii="Garamond" w:hAnsi="Garamond"/>
          <w:sz w:val="24"/>
          <w:szCs w:val="24"/>
          <w:lang w:val="en-US"/>
        </w:rPr>
        <w:t>ns</w:t>
      </w:r>
      <w:proofErr w:type="gramEnd"/>
      <w:r w:rsidR="00EF26A9" w:rsidRPr="00D56AF5">
        <w:rPr>
          <w:rFonts w:ascii="Garamond" w:hAnsi="Garamond"/>
          <w:sz w:val="24"/>
          <w:szCs w:val="24"/>
          <w:lang w:val="en-US"/>
        </w:rPr>
        <w:t xml:space="preserve"> sovereign.</w:t>
      </w:r>
      <w:r w:rsidR="00EF26A9" w:rsidRPr="00D56AF5">
        <w:rPr>
          <w:rStyle w:val="FootnoteReference"/>
          <w:rFonts w:ascii="Garamond" w:hAnsi="Garamond"/>
          <w:sz w:val="24"/>
          <w:szCs w:val="24"/>
          <w:lang w:val="en-US"/>
        </w:rPr>
        <w:footnoteReference w:id="67"/>
      </w:r>
      <w:r w:rsidR="00EF26A9" w:rsidRPr="00D56AF5">
        <w:rPr>
          <w:rFonts w:ascii="Garamond" w:hAnsi="Garamond"/>
          <w:sz w:val="24"/>
          <w:szCs w:val="24"/>
          <w:lang w:val="en-US"/>
        </w:rPr>
        <w:t xml:space="preserve"> </w:t>
      </w:r>
      <w:r w:rsidR="007B68B8" w:rsidRPr="00D56AF5">
        <w:rPr>
          <w:rFonts w:ascii="Garamond" w:hAnsi="Garamond"/>
          <w:sz w:val="24"/>
          <w:szCs w:val="24"/>
          <w:lang w:val="en-US"/>
        </w:rPr>
        <w:t>In the</w:t>
      </w:r>
      <w:r w:rsidR="00EF26A9" w:rsidRPr="00D56AF5">
        <w:rPr>
          <w:rFonts w:ascii="Garamond" w:hAnsi="Garamond"/>
          <w:sz w:val="24"/>
          <w:szCs w:val="24"/>
          <w:lang w:val="en-US"/>
        </w:rPr>
        <w:t xml:space="preserve"> Wimbledon </w:t>
      </w:r>
      <w:r w:rsidR="007B68B8" w:rsidRPr="00D56AF5">
        <w:rPr>
          <w:rFonts w:ascii="Garamond" w:hAnsi="Garamond"/>
          <w:sz w:val="24"/>
          <w:szCs w:val="24"/>
          <w:lang w:val="en-US"/>
        </w:rPr>
        <w:t xml:space="preserve">case, </w:t>
      </w:r>
      <w:r w:rsidR="00FE243A" w:rsidRPr="00D56AF5">
        <w:rPr>
          <w:rFonts w:ascii="Garamond" w:hAnsi="Garamond"/>
          <w:sz w:val="24"/>
          <w:szCs w:val="24"/>
          <w:lang w:val="en-US"/>
        </w:rPr>
        <w:t xml:space="preserve">and subsequently in the SS Lotus case, </w:t>
      </w:r>
      <w:r w:rsidR="000C14D0" w:rsidRPr="00D56AF5">
        <w:rPr>
          <w:rFonts w:ascii="Garamond" w:hAnsi="Garamond"/>
          <w:sz w:val="24"/>
          <w:szCs w:val="24"/>
          <w:lang w:val="en-US"/>
        </w:rPr>
        <w:t xml:space="preserve">the </w:t>
      </w:r>
      <w:r w:rsidR="00FE243A" w:rsidRPr="00D56AF5">
        <w:rPr>
          <w:rFonts w:ascii="Garamond" w:hAnsi="Garamond"/>
          <w:sz w:val="24"/>
          <w:szCs w:val="24"/>
          <w:lang w:val="en-US"/>
        </w:rPr>
        <w:t>court</w:t>
      </w:r>
      <w:r w:rsidR="000C14D0" w:rsidRPr="00D56AF5">
        <w:rPr>
          <w:rFonts w:ascii="Garamond" w:hAnsi="Garamond"/>
          <w:sz w:val="24"/>
          <w:szCs w:val="24"/>
          <w:lang w:val="en-US"/>
        </w:rPr>
        <w:t xml:space="preserve"> </w:t>
      </w:r>
      <w:r w:rsidR="00F51B09" w:rsidRPr="00D56AF5">
        <w:rPr>
          <w:rFonts w:ascii="Garamond" w:hAnsi="Garamond"/>
          <w:sz w:val="24"/>
          <w:szCs w:val="24"/>
          <w:lang w:val="en-US"/>
        </w:rPr>
        <w:t xml:space="preserve">considered consent </w:t>
      </w:r>
      <w:r w:rsidR="00135794">
        <w:rPr>
          <w:rFonts w:ascii="Garamond" w:hAnsi="Garamond"/>
          <w:sz w:val="24"/>
          <w:szCs w:val="24"/>
          <w:lang w:val="en-US"/>
        </w:rPr>
        <w:t xml:space="preserve">emanating from the “free will” of states, </w:t>
      </w:r>
      <w:r w:rsidR="00B60E06" w:rsidRPr="00D56AF5">
        <w:rPr>
          <w:rFonts w:ascii="Garamond" w:hAnsi="Garamond"/>
          <w:sz w:val="24"/>
          <w:szCs w:val="24"/>
          <w:lang w:val="en-US"/>
        </w:rPr>
        <w:t xml:space="preserve">as the basis of </w:t>
      </w:r>
      <w:r w:rsidR="00F51B09" w:rsidRPr="00D56AF5">
        <w:rPr>
          <w:rFonts w:ascii="Garamond" w:hAnsi="Garamond"/>
          <w:sz w:val="24"/>
          <w:szCs w:val="24"/>
          <w:lang w:val="en-US"/>
        </w:rPr>
        <w:t>international law</w:t>
      </w:r>
      <w:r w:rsidR="00FE243A" w:rsidRPr="00D56AF5">
        <w:rPr>
          <w:rFonts w:ascii="Garamond" w:hAnsi="Garamond"/>
          <w:sz w:val="24"/>
          <w:szCs w:val="24"/>
          <w:lang w:val="en-US"/>
        </w:rPr>
        <w:t>.</w:t>
      </w:r>
      <w:r w:rsidR="00FE243A" w:rsidRPr="00D56AF5">
        <w:rPr>
          <w:rStyle w:val="FootnoteReference"/>
          <w:rFonts w:ascii="Garamond" w:hAnsi="Garamond"/>
          <w:sz w:val="24"/>
          <w:szCs w:val="24"/>
          <w:lang w:val="en-US"/>
        </w:rPr>
        <w:footnoteReference w:id="68"/>
      </w:r>
    </w:p>
    <w:p w14:paraId="00DF79E7" w14:textId="4F50C7FB" w:rsidR="00EF26A9" w:rsidRPr="00D56AF5" w:rsidRDefault="00BE1688"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This </w:t>
      </w:r>
      <w:r w:rsidR="00A810C0" w:rsidRPr="00D56AF5">
        <w:rPr>
          <w:rFonts w:ascii="Garamond" w:hAnsi="Garamond"/>
          <w:sz w:val="24"/>
          <w:szCs w:val="24"/>
          <w:lang w:val="en-US"/>
        </w:rPr>
        <w:t xml:space="preserve">rationale of consent </w:t>
      </w:r>
      <w:r w:rsidR="00EF26A9" w:rsidRPr="00D56AF5">
        <w:rPr>
          <w:rFonts w:ascii="Garamond" w:hAnsi="Garamond"/>
          <w:sz w:val="24"/>
          <w:szCs w:val="24"/>
          <w:lang w:val="en-US"/>
        </w:rPr>
        <w:t>as an expression of sovereign will</w:t>
      </w:r>
      <w:r w:rsidR="0087191A" w:rsidRPr="00D56AF5">
        <w:rPr>
          <w:rStyle w:val="FootnoteReference"/>
          <w:rFonts w:ascii="Garamond" w:hAnsi="Garamond"/>
          <w:sz w:val="24"/>
          <w:szCs w:val="24"/>
          <w:lang w:val="en-US"/>
        </w:rPr>
        <w:footnoteReference w:id="69"/>
      </w:r>
      <w:r w:rsidR="00EF26A9" w:rsidRPr="00D56AF5">
        <w:rPr>
          <w:rFonts w:ascii="Garamond" w:hAnsi="Garamond"/>
          <w:sz w:val="24"/>
          <w:szCs w:val="24"/>
          <w:lang w:val="en-US"/>
        </w:rPr>
        <w:t xml:space="preserve"> tided over concerns about the compatibility of treaty obligations with sovereignty for much of the 20</w:t>
      </w:r>
      <w:r w:rsidR="00EF26A9" w:rsidRPr="00D56AF5">
        <w:rPr>
          <w:rFonts w:ascii="Garamond" w:hAnsi="Garamond"/>
          <w:sz w:val="24"/>
          <w:szCs w:val="24"/>
          <w:vertAlign w:val="superscript"/>
          <w:lang w:val="en-US"/>
        </w:rPr>
        <w:t>th</w:t>
      </w:r>
      <w:r w:rsidR="00EF26A9" w:rsidRPr="00D56AF5">
        <w:rPr>
          <w:rFonts w:ascii="Garamond" w:hAnsi="Garamond"/>
          <w:sz w:val="24"/>
          <w:szCs w:val="24"/>
          <w:lang w:val="en-US"/>
        </w:rPr>
        <w:t xml:space="preserve"> century.</w:t>
      </w:r>
      <w:r w:rsidR="00EF26A9" w:rsidRPr="00D56AF5">
        <w:rPr>
          <w:rStyle w:val="FootnoteReference"/>
          <w:rFonts w:ascii="Garamond" w:hAnsi="Garamond"/>
          <w:sz w:val="24"/>
          <w:szCs w:val="24"/>
          <w:lang w:val="en-US"/>
        </w:rPr>
        <w:footnoteReference w:id="70"/>
      </w:r>
      <w:r w:rsidR="00EF26A9" w:rsidRPr="00D56AF5">
        <w:rPr>
          <w:rFonts w:ascii="Garamond" w:hAnsi="Garamond"/>
          <w:sz w:val="24"/>
          <w:szCs w:val="24"/>
          <w:lang w:val="en-US"/>
        </w:rPr>
        <w:t xml:space="preserve"> And as a theory of international law, it certainly ha</w:t>
      </w:r>
      <w:r w:rsidR="000B212A" w:rsidRPr="00D56AF5">
        <w:rPr>
          <w:rFonts w:ascii="Garamond" w:hAnsi="Garamond"/>
          <w:sz w:val="24"/>
          <w:szCs w:val="24"/>
          <w:lang w:val="en-US"/>
        </w:rPr>
        <w:t>s</w:t>
      </w:r>
      <w:r w:rsidR="00EF26A9" w:rsidRPr="00D56AF5">
        <w:rPr>
          <w:rFonts w:ascii="Garamond" w:hAnsi="Garamond"/>
          <w:sz w:val="24"/>
          <w:szCs w:val="24"/>
          <w:lang w:val="en-US"/>
        </w:rPr>
        <w:t xml:space="preserve"> its strengths. It </w:t>
      </w:r>
      <w:r w:rsidR="00382702" w:rsidRPr="00D56AF5">
        <w:rPr>
          <w:rFonts w:ascii="Garamond" w:hAnsi="Garamond"/>
          <w:sz w:val="24"/>
          <w:szCs w:val="24"/>
          <w:lang w:val="en-US"/>
        </w:rPr>
        <w:t>retains the</w:t>
      </w:r>
      <w:r w:rsidR="00EF26A9" w:rsidRPr="00D56AF5">
        <w:rPr>
          <w:rFonts w:ascii="Garamond" w:hAnsi="Garamond"/>
          <w:sz w:val="24"/>
          <w:szCs w:val="24"/>
          <w:lang w:val="en-US"/>
        </w:rPr>
        <w:t xml:space="preserve"> juridical concept </w:t>
      </w:r>
      <w:r w:rsidR="00382702" w:rsidRPr="00D56AF5">
        <w:rPr>
          <w:rFonts w:ascii="Garamond" w:hAnsi="Garamond"/>
          <w:sz w:val="24"/>
          <w:szCs w:val="24"/>
          <w:lang w:val="en-US"/>
        </w:rPr>
        <w:t xml:space="preserve">of sovereignty without </w:t>
      </w:r>
      <w:r w:rsidR="00542F06" w:rsidRPr="00D56AF5">
        <w:rPr>
          <w:rFonts w:ascii="Garamond" w:hAnsi="Garamond"/>
          <w:sz w:val="24"/>
          <w:szCs w:val="24"/>
          <w:lang w:val="en-US"/>
        </w:rPr>
        <w:t>entrenching</w:t>
      </w:r>
      <w:r w:rsidR="00382702" w:rsidRPr="00D56AF5">
        <w:rPr>
          <w:rFonts w:ascii="Garamond" w:hAnsi="Garamond"/>
          <w:sz w:val="24"/>
          <w:szCs w:val="24"/>
          <w:lang w:val="en-US"/>
        </w:rPr>
        <w:t xml:space="preserve"> it in any </w:t>
      </w:r>
      <w:proofErr w:type="gramStart"/>
      <w:r w:rsidR="00EF26A9" w:rsidRPr="00D56AF5">
        <w:rPr>
          <w:rFonts w:ascii="Garamond" w:hAnsi="Garamond"/>
          <w:sz w:val="24"/>
          <w:szCs w:val="24"/>
          <w:lang w:val="en-US"/>
        </w:rPr>
        <w:t>particular philosophical</w:t>
      </w:r>
      <w:proofErr w:type="gramEnd"/>
      <w:r w:rsidR="00EF26A9" w:rsidRPr="00D56AF5">
        <w:rPr>
          <w:rFonts w:ascii="Garamond" w:hAnsi="Garamond"/>
          <w:sz w:val="24"/>
          <w:szCs w:val="24"/>
          <w:lang w:val="en-US"/>
        </w:rPr>
        <w:t xml:space="preserve"> view of the purposes of the state or other legal concepts</w:t>
      </w:r>
      <w:r w:rsidRPr="00D56AF5">
        <w:rPr>
          <w:rFonts w:ascii="Garamond" w:hAnsi="Garamond"/>
          <w:sz w:val="24"/>
          <w:szCs w:val="24"/>
          <w:lang w:val="en-US"/>
        </w:rPr>
        <w:t>.</w:t>
      </w:r>
      <w:r w:rsidR="00EF26A9" w:rsidRPr="00D56AF5">
        <w:rPr>
          <w:rFonts w:ascii="Garamond" w:hAnsi="Garamond"/>
          <w:sz w:val="24"/>
          <w:szCs w:val="24"/>
          <w:lang w:val="en-US"/>
        </w:rPr>
        <w:t xml:space="preserve"> </w:t>
      </w:r>
      <w:r w:rsidRPr="00D56AF5">
        <w:rPr>
          <w:rFonts w:ascii="Garamond" w:hAnsi="Garamond"/>
          <w:sz w:val="24"/>
          <w:szCs w:val="24"/>
          <w:lang w:val="en-US"/>
        </w:rPr>
        <w:t>I</w:t>
      </w:r>
      <w:r w:rsidR="00EF26A9" w:rsidRPr="00D56AF5">
        <w:rPr>
          <w:rFonts w:ascii="Garamond" w:hAnsi="Garamond"/>
          <w:sz w:val="24"/>
          <w:szCs w:val="24"/>
          <w:lang w:val="en-US"/>
        </w:rPr>
        <w:t>t prevents the mistaken equation of sovereignty exclusively to power</w:t>
      </w:r>
      <w:r w:rsidR="00266CC4" w:rsidRPr="00D56AF5">
        <w:rPr>
          <w:rFonts w:ascii="Garamond" w:hAnsi="Garamond"/>
          <w:sz w:val="24"/>
          <w:szCs w:val="24"/>
          <w:lang w:val="en-US"/>
        </w:rPr>
        <w:t>,</w:t>
      </w:r>
      <w:r w:rsidR="00EF26A9" w:rsidRPr="00D56AF5">
        <w:rPr>
          <w:rStyle w:val="FootnoteReference"/>
          <w:rFonts w:ascii="Garamond" w:hAnsi="Garamond"/>
          <w:sz w:val="24"/>
          <w:szCs w:val="24"/>
          <w:lang w:val="en-US"/>
        </w:rPr>
        <w:footnoteReference w:id="71"/>
      </w:r>
      <w:r w:rsidR="00EF26A9" w:rsidRPr="00D56AF5">
        <w:rPr>
          <w:rFonts w:ascii="Garamond" w:hAnsi="Garamond"/>
          <w:sz w:val="24"/>
          <w:szCs w:val="24"/>
          <w:lang w:val="en-US"/>
        </w:rPr>
        <w:t xml:space="preserve"> </w:t>
      </w:r>
      <w:r w:rsidR="00BF3A5D" w:rsidRPr="00D56AF5">
        <w:rPr>
          <w:rFonts w:ascii="Garamond" w:hAnsi="Garamond"/>
          <w:sz w:val="24"/>
          <w:szCs w:val="24"/>
          <w:lang w:val="en-US"/>
        </w:rPr>
        <w:t>and</w:t>
      </w:r>
      <w:r w:rsidR="00266CC4" w:rsidRPr="00D56AF5">
        <w:rPr>
          <w:rFonts w:ascii="Garamond" w:hAnsi="Garamond"/>
          <w:sz w:val="24"/>
          <w:szCs w:val="24"/>
          <w:lang w:val="en-US"/>
        </w:rPr>
        <w:t xml:space="preserve"> it</w:t>
      </w:r>
      <w:r w:rsidR="00BF3A5D" w:rsidRPr="00D56AF5">
        <w:rPr>
          <w:rFonts w:ascii="Garamond" w:hAnsi="Garamond"/>
          <w:sz w:val="24"/>
          <w:szCs w:val="24"/>
          <w:lang w:val="en-US"/>
        </w:rPr>
        <w:t xml:space="preserve"> </w:t>
      </w:r>
      <w:r w:rsidR="00EF26A9" w:rsidRPr="00D56AF5">
        <w:rPr>
          <w:rFonts w:ascii="Garamond" w:hAnsi="Garamond"/>
          <w:sz w:val="24"/>
          <w:szCs w:val="24"/>
          <w:lang w:val="en-US"/>
        </w:rPr>
        <w:t>assuages concerns about ideological domination and value-skepticism, by rooting the validity of a rule in a formal rather than substantive criterion.</w:t>
      </w:r>
      <w:r w:rsidR="00EF26A9" w:rsidRPr="00D56AF5">
        <w:rPr>
          <w:rStyle w:val="FootnoteReference"/>
          <w:rFonts w:ascii="Garamond" w:hAnsi="Garamond"/>
          <w:sz w:val="24"/>
          <w:szCs w:val="24"/>
          <w:lang w:val="en-US"/>
        </w:rPr>
        <w:footnoteReference w:id="72"/>
      </w:r>
    </w:p>
    <w:p w14:paraId="4228F2A5" w14:textId="4714FB00" w:rsidR="00FF120A" w:rsidRDefault="008E484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But </w:t>
      </w:r>
      <w:r w:rsidR="00FF120A">
        <w:rPr>
          <w:rFonts w:ascii="Garamond" w:hAnsi="Garamond"/>
          <w:sz w:val="24"/>
          <w:szCs w:val="24"/>
          <w:lang w:val="en-US"/>
        </w:rPr>
        <w:t xml:space="preserve">if </w:t>
      </w:r>
      <w:r w:rsidR="00FF120A" w:rsidRPr="00D56AF5">
        <w:rPr>
          <w:rFonts w:ascii="Garamond" w:hAnsi="Garamond"/>
          <w:sz w:val="24"/>
          <w:szCs w:val="24"/>
          <w:lang w:val="en-US"/>
        </w:rPr>
        <w:t>self-limitation is a justification for the coherence between sovereignty and restriction by treaty, we are driven to a choice between law and power.</w:t>
      </w:r>
      <w:r w:rsidR="00FF120A" w:rsidRPr="00D56AF5">
        <w:rPr>
          <w:rStyle w:val="FootnoteReference"/>
          <w:rFonts w:ascii="Garamond" w:hAnsi="Garamond"/>
          <w:sz w:val="24"/>
          <w:szCs w:val="24"/>
          <w:lang w:val="en-US"/>
        </w:rPr>
        <w:footnoteReference w:id="73"/>
      </w:r>
      <w:r w:rsidR="00FF120A">
        <w:rPr>
          <w:rFonts w:ascii="Garamond" w:hAnsi="Garamond"/>
          <w:sz w:val="24"/>
          <w:szCs w:val="24"/>
          <w:lang w:val="en-US"/>
        </w:rPr>
        <w:t xml:space="preserve"> Rooting </w:t>
      </w:r>
      <w:r w:rsidR="00FF120A" w:rsidRPr="00D56AF5">
        <w:rPr>
          <w:rFonts w:ascii="Garamond" w:hAnsi="Garamond"/>
          <w:sz w:val="24"/>
          <w:szCs w:val="24"/>
          <w:lang w:val="en-US"/>
        </w:rPr>
        <w:t xml:space="preserve">the authority of law entirely in </w:t>
      </w:r>
      <w:r w:rsidR="00FF120A" w:rsidRPr="00D56AF5">
        <w:rPr>
          <w:rFonts w:ascii="Garamond" w:hAnsi="Garamond"/>
          <w:sz w:val="24"/>
          <w:szCs w:val="24"/>
          <w:lang w:val="en-US"/>
        </w:rPr>
        <w:lastRenderedPageBreak/>
        <w:t xml:space="preserve">consent – in self-legislated limitation – </w:t>
      </w:r>
      <w:r w:rsidR="00FF120A">
        <w:rPr>
          <w:rFonts w:ascii="Garamond" w:hAnsi="Garamond"/>
          <w:sz w:val="24"/>
          <w:szCs w:val="24"/>
          <w:lang w:val="en-US"/>
        </w:rPr>
        <w:t xml:space="preserve">thus reformulates. </w:t>
      </w:r>
      <w:r w:rsidR="00FF120A" w:rsidRPr="00D56AF5">
        <w:rPr>
          <w:rFonts w:ascii="Garamond" w:hAnsi="Garamond"/>
          <w:sz w:val="24"/>
          <w:szCs w:val="24"/>
          <w:lang w:val="en-US"/>
        </w:rPr>
        <w:t xml:space="preserve">the paradox </w:t>
      </w:r>
      <w:r w:rsidR="00FF120A">
        <w:rPr>
          <w:rFonts w:ascii="Garamond" w:hAnsi="Garamond"/>
          <w:sz w:val="24"/>
          <w:szCs w:val="24"/>
          <w:lang w:val="en-US"/>
        </w:rPr>
        <w:t xml:space="preserve">into </w:t>
      </w:r>
      <w:r w:rsidR="00FF120A" w:rsidRPr="00D56AF5">
        <w:rPr>
          <w:rFonts w:ascii="Garamond" w:hAnsi="Garamond"/>
          <w:sz w:val="24"/>
          <w:szCs w:val="24"/>
          <w:lang w:val="en-US"/>
        </w:rPr>
        <w:t>a dilemma.</w:t>
      </w:r>
      <w:r w:rsidR="00FF120A" w:rsidRPr="00D56AF5">
        <w:rPr>
          <w:rStyle w:val="FootnoteReference"/>
          <w:rFonts w:ascii="Garamond" w:hAnsi="Garamond"/>
          <w:sz w:val="24"/>
          <w:szCs w:val="24"/>
          <w:lang w:val="en-US"/>
        </w:rPr>
        <w:footnoteReference w:id="74"/>
      </w:r>
      <w:r w:rsidR="00FF120A" w:rsidRPr="00D56AF5">
        <w:rPr>
          <w:rFonts w:ascii="Garamond" w:hAnsi="Garamond"/>
          <w:sz w:val="24"/>
          <w:szCs w:val="24"/>
          <w:lang w:val="en-US"/>
        </w:rPr>
        <w:t xml:space="preserve"> This semantic distinction has great bearing for our discussion. Paradoxes</w:t>
      </w:r>
      <w:r w:rsidR="00FF120A" w:rsidRPr="00D56AF5">
        <w:rPr>
          <w:rFonts w:ascii="Garamond" w:hAnsi="Garamond"/>
          <w:i/>
          <w:iCs/>
          <w:sz w:val="24"/>
          <w:szCs w:val="24"/>
          <w:lang w:val="en-US"/>
        </w:rPr>
        <w:t xml:space="preserve"> </w:t>
      </w:r>
      <w:r w:rsidR="00FF120A" w:rsidRPr="00D56AF5">
        <w:rPr>
          <w:rFonts w:ascii="Garamond" w:hAnsi="Garamond"/>
          <w:sz w:val="24"/>
          <w:szCs w:val="24"/>
          <w:lang w:val="en-US"/>
        </w:rPr>
        <w:t xml:space="preserve">concern contradictions which correspond to truths about a concept - in our case, it tells us that sovereignty is at once both political </w:t>
      </w:r>
      <w:r w:rsidR="00FF120A" w:rsidRPr="00D56AF5">
        <w:rPr>
          <w:rFonts w:ascii="Garamond" w:hAnsi="Garamond"/>
          <w:i/>
          <w:iCs/>
          <w:sz w:val="24"/>
          <w:szCs w:val="24"/>
          <w:lang w:val="en-US"/>
        </w:rPr>
        <w:t>and</w:t>
      </w:r>
      <w:r w:rsidR="00FF120A" w:rsidRPr="00D56AF5">
        <w:rPr>
          <w:rFonts w:ascii="Garamond" w:hAnsi="Garamond"/>
          <w:sz w:val="24"/>
          <w:szCs w:val="24"/>
          <w:lang w:val="en-US"/>
        </w:rPr>
        <w:t xml:space="preserve"> legal with no order of priority between these dimensions.</w:t>
      </w:r>
      <w:r w:rsidR="00FF120A" w:rsidRPr="00D56AF5">
        <w:rPr>
          <w:rStyle w:val="FootnoteReference"/>
          <w:rFonts w:ascii="Garamond" w:hAnsi="Garamond"/>
          <w:sz w:val="24"/>
          <w:szCs w:val="24"/>
          <w:lang w:val="en-US"/>
        </w:rPr>
        <w:footnoteReference w:id="75"/>
      </w:r>
      <w:r w:rsidR="00FF120A" w:rsidRPr="00D56AF5">
        <w:rPr>
          <w:rFonts w:ascii="Garamond" w:hAnsi="Garamond"/>
          <w:sz w:val="24"/>
          <w:szCs w:val="24"/>
          <w:lang w:val="en-US"/>
        </w:rPr>
        <w:t xml:space="preserve">  A ‘dilemma’ on the other hand, confronts the theorist with two alternatives – </w:t>
      </w:r>
      <w:r w:rsidR="00FF120A">
        <w:rPr>
          <w:rFonts w:ascii="Garamond" w:hAnsi="Garamond"/>
          <w:sz w:val="24"/>
          <w:szCs w:val="24"/>
          <w:lang w:val="en-US"/>
        </w:rPr>
        <w:t xml:space="preserve">law, and </w:t>
      </w:r>
      <w:r w:rsidR="00FF120A" w:rsidRPr="00D56AF5">
        <w:rPr>
          <w:rFonts w:ascii="Garamond" w:hAnsi="Garamond"/>
          <w:sz w:val="24"/>
          <w:szCs w:val="24"/>
          <w:lang w:val="en-US"/>
        </w:rPr>
        <w:t>power – and asks her to make a choice between them for the purposes of arranging them into logical priority.</w:t>
      </w:r>
      <w:r w:rsidR="00FF120A" w:rsidRPr="00D56AF5">
        <w:rPr>
          <w:rStyle w:val="FootnoteReference"/>
          <w:rFonts w:ascii="Garamond" w:hAnsi="Garamond"/>
          <w:sz w:val="24"/>
          <w:szCs w:val="24"/>
          <w:lang w:val="en-US"/>
        </w:rPr>
        <w:footnoteReference w:id="76"/>
      </w:r>
    </w:p>
    <w:p w14:paraId="378617D1" w14:textId="65223F53" w:rsidR="00FF120A" w:rsidRDefault="00FF120A" w:rsidP="001340AF">
      <w:pPr>
        <w:spacing w:after="120" w:line="480" w:lineRule="auto"/>
        <w:jc w:val="both"/>
        <w:rPr>
          <w:rFonts w:ascii="Garamond" w:hAnsi="Garamond"/>
          <w:sz w:val="24"/>
          <w:szCs w:val="24"/>
          <w:lang w:val="en-US"/>
        </w:rPr>
      </w:pPr>
      <w:r>
        <w:rPr>
          <w:rFonts w:ascii="Garamond" w:hAnsi="Garamond"/>
          <w:sz w:val="24"/>
          <w:szCs w:val="24"/>
          <w:lang w:val="en-US"/>
        </w:rPr>
        <w:t xml:space="preserve">If the </w:t>
      </w:r>
      <w:r w:rsidRPr="00D56AF5">
        <w:rPr>
          <w:rFonts w:ascii="Garamond" w:hAnsi="Garamond"/>
          <w:sz w:val="24"/>
          <w:szCs w:val="24"/>
          <w:lang w:val="en-US"/>
        </w:rPr>
        <w:t xml:space="preserve">institution of sovereignty </w:t>
      </w:r>
      <w:r>
        <w:rPr>
          <w:rFonts w:ascii="Garamond" w:hAnsi="Garamond"/>
          <w:sz w:val="24"/>
          <w:szCs w:val="24"/>
          <w:lang w:val="en-US"/>
        </w:rPr>
        <w:t>is viewed a</w:t>
      </w:r>
      <w:r w:rsidRPr="00D56AF5">
        <w:rPr>
          <w:rFonts w:ascii="Garamond" w:hAnsi="Garamond"/>
          <w:sz w:val="24"/>
          <w:szCs w:val="24"/>
          <w:lang w:val="en-US"/>
        </w:rPr>
        <w:t xml:space="preserve">s </w:t>
      </w:r>
      <w:r>
        <w:rPr>
          <w:rFonts w:ascii="Garamond" w:hAnsi="Garamond"/>
          <w:sz w:val="24"/>
          <w:szCs w:val="24"/>
          <w:lang w:val="en-US"/>
        </w:rPr>
        <w:t>entirely</w:t>
      </w:r>
      <w:r w:rsidRPr="00D56AF5">
        <w:rPr>
          <w:rFonts w:ascii="Garamond" w:hAnsi="Garamond"/>
          <w:sz w:val="24"/>
          <w:szCs w:val="24"/>
          <w:lang w:val="en-US"/>
        </w:rPr>
        <w:t xml:space="preserve"> legally constituted </w:t>
      </w:r>
      <w:r>
        <w:rPr>
          <w:rFonts w:ascii="Garamond" w:hAnsi="Garamond"/>
          <w:sz w:val="24"/>
          <w:szCs w:val="24"/>
          <w:lang w:val="en-US"/>
        </w:rPr>
        <w:t xml:space="preserve">i.e., as </w:t>
      </w:r>
      <w:r w:rsidRPr="00D56AF5">
        <w:rPr>
          <w:rFonts w:ascii="Garamond" w:hAnsi="Garamond"/>
          <w:sz w:val="24"/>
          <w:szCs w:val="24"/>
          <w:lang w:val="en-US"/>
        </w:rPr>
        <w:t>a rule within a legal system that is neither justified by extra-legal facts nor constituted by social or political attributes</w:t>
      </w:r>
      <w:r>
        <w:rPr>
          <w:rFonts w:ascii="Garamond" w:hAnsi="Garamond"/>
          <w:sz w:val="24"/>
          <w:szCs w:val="24"/>
          <w:lang w:val="en-US"/>
        </w:rPr>
        <w:t>,</w:t>
      </w:r>
      <w:r w:rsidRPr="00D56AF5">
        <w:rPr>
          <w:rStyle w:val="FootnoteReference"/>
          <w:rFonts w:ascii="Garamond" w:hAnsi="Garamond"/>
          <w:sz w:val="24"/>
          <w:szCs w:val="24"/>
          <w:lang w:val="en-US"/>
        </w:rPr>
        <w:footnoteReference w:id="77"/>
      </w:r>
      <w:r w:rsidRPr="00D56AF5">
        <w:rPr>
          <w:rFonts w:ascii="Garamond" w:hAnsi="Garamond"/>
          <w:sz w:val="24"/>
          <w:szCs w:val="24"/>
          <w:lang w:val="en-US"/>
        </w:rPr>
        <w:t xml:space="preserve"> </w:t>
      </w:r>
      <w:r>
        <w:rPr>
          <w:rFonts w:ascii="Garamond" w:hAnsi="Garamond"/>
          <w:sz w:val="24"/>
          <w:szCs w:val="24"/>
          <w:lang w:val="en-US"/>
        </w:rPr>
        <w:t>we would neglect</w:t>
      </w:r>
      <w:r w:rsidRPr="00D56AF5">
        <w:rPr>
          <w:rFonts w:ascii="Garamond" w:hAnsi="Garamond"/>
          <w:sz w:val="24"/>
          <w:szCs w:val="24"/>
          <w:lang w:val="en-US"/>
        </w:rPr>
        <w:t xml:space="preserve"> the political right and political values which lend sovereign</w:t>
      </w:r>
      <w:r>
        <w:rPr>
          <w:rFonts w:ascii="Garamond" w:hAnsi="Garamond"/>
          <w:sz w:val="24"/>
          <w:szCs w:val="24"/>
          <w:lang w:val="en-US"/>
        </w:rPr>
        <w:t>ty</w:t>
      </w:r>
      <w:r w:rsidRPr="00D56AF5">
        <w:rPr>
          <w:rFonts w:ascii="Garamond" w:hAnsi="Garamond"/>
          <w:sz w:val="24"/>
          <w:szCs w:val="24"/>
          <w:lang w:val="en-US"/>
        </w:rPr>
        <w:t xml:space="preserve"> its legitimacy. </w:t>
      </w:r>
      <w:r>
        <w:rPr>
          <w:rFonts w:ascii="Garamond" w:hAnsi="Garamond"/>
          <w:sz w:val="24"/>
          <w:szCs w:val="24"/>
          <w:lang w:val="en-US"/>
        </w:rPr>
        <w:t xml:space="preserve">But alternatively, if we adopted </w:t>
      </w:r>
      <w:r w:rsidRPr="00D56AF5">
        <w:rPr>
          <w:rFonts w:ascii="Garamond" w:hAnsi="Garamond"/>
          <w:sz w:val="24"/>
          <w:szCs w:val="24"/>
          <w:lang w:val="en-US"/>
        </w:rPr>
        <w:t xml:space="preserve">a purely extra-legal conception </w:t>
      </w:r>
      <w:r>
        <w:rPr>
          <w:rFonts w:ascii="Garamond" w:hAnsi="Garamond"/>
          <w:sz w:val="24"/>
          <w:szCs w:val="24"/>
          <w:lang w:val="en-US"/>
        </w:rPr>
        <w:t xml:space="preserve">of </w:t>
      </w:r>
      <w:r w:rsidRPr="00D56AF5">
        <w:rPr>
          <w:rFonts w:ascii="Garamond" w:hAnsi="Garamond"/>
          <w:sz w:val="24"/>
          <w:szCs w:val="24"/>
          <w:lang w:val="en-US"/>
        </w:rPr>
        <w:t>sovereignty as sheer empirical power</w:t>
      </w:r>
      <w:r>
        <w:rPr>
          <w:rFonts w:ascii="Garamond" w:hAnsi="Garamond"/>
          <w:sz w:val="24"/>
          <w:szCs w:val="24"/>
          <w:lang w:val="en-US"/>
        </w:rPr>
        <w:t>,</w:t>
      </w:r>
      <w:r w:rsidRPr="00D56AF5">
        <w:rPr>
          <w:rStyle w:val="FootnoteReference"/>
          <w:rFonts w:ascii="Garamond" w:hAnsi="Garamond"/>
          <w:sz w:val="24"/>
          <w:szCs w:val="24"/>
          <w:lang w:val="en-US"/>
        </w:rPr>
        <w:footnoteReference w:id="78"/>
      </w:r>
      <w:r>
        <w:rPr>
          <w:rFonts w:ascii="Garamond" w:hAnsi="Garamond"/>
          <w:sz w:val="24"/>
          <w:szCs w:val="24"/>
          <w:lang w:val="en-US"/>
        </w:rPr>
        <w:t xml:space="preserve"> where the </w:t>
      </w:r>
      <w:r w:rsidRPr="00D56AF5">
        <w:rPr>
          <w:rFonts w:ascii="Garamond" w:hAnsi="Garamond"/>
          <w:sz w:val="24"/>
          <w:szCs w:val="24"/>
          <w:lang w:val="en-US"/>
        </w:rPr>
        <w:t>state’s political sovereignty</w:t>
      </w:r>
      <w:r>
        <w:rPr>
          <w:rFonts w:ascii="Garamond" w:hAnsi="Garamond"/>
          <w:sz w:val="24"/>
          <w:szCs w:val="24"/>
          <w:lang w:val="en-US"/>
        </w:rPr>
        <w:t xml:space="preserve"> lacks legal constraints</w:t>
      </w:r>
      <w:r w:rsidRPr="00D56AF5">
        <w:rPr>
          <w:rStyle w:val="FootnoteReference"/>
          <w:rFonts w:ascii="Garamond" w:hAnsi="Garamond"/>
          <w:sz w:val="24"/>
          <w:szCs w:val="24"/>
          <w:lang w:val="en-US"/>
        </w:rPr>
        <w:footnoteReference w:id="79"/>
      </w:r>
      <w:r w:rsidRPr="00D56AF5">
        <w:rPr>
          <w:rFonts w:ascii="Garamond" w:hAnsi="Garamond"/>
          <w:sz w:val="24"/>
          <w:szCs w:val="24"/>
          <w:lang w:val="en-US"/>
        </w:rPr>
        <w:t xml:space="preserve">  </w:t>
      </w:r>
      <w:r>
        <w:rPr>
          <w:rFonts w:ascii="Garamond" w:hAnsi="Garamond"/>
          <w:sz w:val="24"/>
          <w:szCs w:val="24"/>
          <w:lang w:val="en-US"/>
        </w:rPr>
        <w:t xml:space="preserve">and </w:t>
      </w:r>
      <w:r w:rsidRPr="00D56AF5">
        <w:rPr>
          <w:rFonts w:ascii="Garamond" w:hAnsi="Garamond"/>
          <w:sz w:val="24"/>
          <w:szCs w:val="24"/>
          <w:lang w:val="en-US"/>
        </w:rPr>
        <w:t>the sovereign is “he who decides on the exception”,</w:t>
      </w:r>
      <w:r w:rsidRPr="00D56AF5">
        <w:rPr>
          <w:rStyle w:val="FootnoteReference"/>
          <w:rFonts w:ascii="Garamond" w:hAnsi="Garamond"/>
          <w:sz w:val="24"/>
          <w:szCs w:val="24"/>
          <w:lang w:val="en-US"/>
        </w:rPr>
        <w:footnoteReference w:id="80"/>
      </w:r>
      <w:r w:rsidRPr="00D56AF5">
        <w:rPr>
          <w:rFonts w:ascii="Garamond" w:hAnsi="Garamond"/>
          <w:sz w:val="24"/>
          <w:szCs w:val="24"/>
          <w:lang w:val="en-US"/>
        </w:rPr>
        <w:t xml:space="preserve"> </w:t>
      </w:r>
      <w:r>
        <w:rPr>
          <w:rFonts w:ascii="Garamond" w:hAnsi="Garamond"/>
          <w:sz w:val="24"/>
          <w:szCs w:val="24"/>
          <w:lang w:val="en-US"/>
        </w:rPr>
        <w:t>then c</w:t>
      </w:r>
      <w:r w:rsidRPr="00D56AF5">
        <w:rPr>
          <w:rFonts w:ascii="Garamond" w:hAnsi="Garamond"/>
          <w:sz w:val="24"/>
          <w:szCs w:val="24"/>
          <w:lang w:val="en-US"/>
        </w:rPr>
        <w:t>onsent is merely tokenistic, and obligations are devoid of meaning</w:t>
      </w:r>
      <w:r>
        <w:rPr>
          <w:rFonts w:ascii="Garamond" w:hAnsi="Garamond"/>
          <w:sz w:val="24"/>
          <w:szCs w:val="24"/>
          <w:lang w:val="en-US"/>
        </w:rPr>
        <w:t xml:space="preserve"> –</w:t>
      </w:r>
      <w:r w:rsidRPr="00D56AF5">
        <w:rPr>
          <w:rFonts w:ascii="Garamond" w:hAnsi="Garamond"/>
          <w:sz w:val="24"/>
          <w:szCs w:val="24"/>
          <w:lang w:val="en-US"/>
        </w:rPr>
        <w:t xml:space="preserve"> for</w:t>
      </w:r>
      <w:r>
        <w:rPr>
          <w:rFonts w:ascii="Garamond" w:hAnsi="Garamond"/>
          <w:sz w:val="24"/>
          <w:szCs w:val="24"/>
          <w:lang w:val="en-US"/>
        </w:rPr>
        <w:t xml:space="preserve"> </w:t>
      </w:r>
      <w:r w:rsidRPr="00D56AF5">
        <w:rPr>
          <w:rFonts w:ascii="Garamond" w:hAnsi="Garamond"/>
          <w:sz w:val="24"/>
          <w:szCs w:val="24"/>
          <w:lang w:val="en-US"/>
        </w:rPr>
        <w:t>legal agreements signify no assurance of a state’s commitment, and do not provide a moral basis for third party enforcement.</w:t>
      </w:r>
    </w:p>
    <w:p w14:paraId="4180D438" w14:textId="10B6A5A7" w:rsidR="00AD7A94" w:rsidRPr="00D56AF5" w:rsidRDefault="00FF120A" w:rsidP="001340AF">
      <w:pPr>
        <w:spacing w:after="120" w:line="480" w:lineRule="auto"/>
        <w:jc w:val="both"/>
        <w:rPr>
          <w:rFonts w:ascii="Garamond" w:hAnsi="Garamond"/>
          <w:sz w:val="24"/>
          <w:szCs w:val="24"/>
          <w:lang w:val="en-US"/>
        </w:rPr>
      </w:pPr>
      <w:r>
        <w:rPr>
          <w:rFonts w:ascii="Garamond" w:hAnsi="Garamond"/>
          <w:sz w:val="24"/>
          <w:szCs w:val="24"/>
          <w:lang w:val="en-US"/>
        </w:rPr>
        <w:t xml:space="preserve">The </w:t>
      </w:r>
      <w:r w:rsidRPr="00D56AF5">
        <w:rPr>
          <w:rFonts w:ascii="Garamond" w:hAnsi="Garamond"/>
          <w:sz w:val="24"/>
          <w:szCs w:val="24"/>
          <w:lang w:val="en-US"/>
        </w:rPr>
        <w:t xml:space="preserve">consent paradigm </w:t>
      </w:r>
      <w:r>
        <w:rPr>
          <w:rFonts w:ascii="Garamond" w:hAnsi="Garamond"/>
          <w:sz w:val="24"/>
          <w:szCs w:val="24"/>
          <w:lang w:val="en-US"/>
        </w:rPr>
        <w:t xml:space="preserve">thus </w:t>
      </w:r>
      <w:r w:rsidRPr="00D56AF5">
        <w:rPr>
          <w:rFonts w:ascii="Garamond" w:hAnsi="Garamond"/>
          <w:sz w:val="24"/>
          <w:szCs w:val="24"/>
          <w:lang w:val="en-US"/>
        </w:rPr>
        <w:t>does not really offer a solution to the paradox</w:t>
      </w:r>
      <w:r>
        <w:rPr>
          <w:rFonts w:ascii="Garamond" w:hAnsi="Garamond"/>
          <w:sz w:val="24"/>
          <w:szCs w:val="24"/>
          <w:lang w:val="en-US"/>
        </w:rPr>
        <w:t xml:space="preserve">, because it </w:t>
      </w:r>
      <w:r w:rsidRPr="00D56AF5">
        <w:rPr>
          <w:rFonts w:ascii="Garamond" w:hAnsi="Garamond"/>
          <w:sz w:val="24"/>
          <w:szCs w:val="24"/>
          <w:lang w:val="en-US"/>
        </w:rPr>
        <w:t>resists certain aspects of the nature of sovereignty.</w:t>
      </w:r>
      <w:r>
        <w:rPr>
          <w:rFonts w:ascii="Garamond" w:hAnsi="Garamond"/>
          <w:sz w:val="24"/>
          <w:szCs w:val="24"/>
          <w:lang w:val="en-US"/>
        </w:rPr>
        <w:t xml:space="preserve"> </w:t>
      </w:r>
      <w:r w:rsidR="00B54CFC" w:rsidRPr="00D56AF5">
        <w:rPr>
          <w:rFonts w:ascii="Garamond" w:hAnsi="Garamond"/>
          <w:sz w:val="24"/>
          <w:szCs w:val="24"/>
          <w:lang w:val="en-US"/>
        </w:rPr>
        <w:t>S</w:t>
      </w:r>
      <w:r w:rsidR="00CE04CE" w:rsidRPr="00D56AF5">
        <w:rPr>
          <w:rFonts w:ascii="Garamond" w:hAnsi="Garamond"/>
          <w:sz w:val="24"/>
          <w:szCs w:val="24"/>
          <w:lang w:val="en-US"/>
        </w:rPr>
        <w:t xml:space="preserve">overeignty </w:t>
      </w:r>
      <w:r w:rsidR="008062C9" w:rsidRPr="00D56AF5">
        <w:rPr>
          <w:rFonts w:ascii="Garamond" w:hAnsi="Garamond"/>
          <w:sz w:val="24"/>
          <w:szCs w:val="24"/>
          <w:lang w:val="en-US"/>
        </w:rPr>
        <w:t xml:space="preserve">may be a </w:t>
      </w:r>
      <w:r w:rsidR="00CE04CE" w:rsidRPr="00D56AF5">
        <w:rPr>
          <w:rFonts w:ascii="Garamond" w:hAnsi="Garamond"/>
          <w:sz w:val="24"/>
          <w:szCs w:val="24"/>
          <w:lang w:val="en-US"/>
        </w:rPr>
        <w:t xml:space="preserve">juridical concept, </w:t>
      </w:r>
      <w:r w:rsidR="008062C9" w:rsidRPr="00D56AF5">
        <w:rPr>
          <w:rFonts w:ascii="Garamond" w:hAnsi="Garamond"/>
          <w:sz w:val="24"/>
          <w:szCs w:val="24"/>
          <w:lang w:val="en-US"/>
        </w:rPr>
        <w:t xml:space="preserve">but it has a distinctly </w:t>
      </w:r>
      <w:r w:rsidR="00CE04CE" w:rsidRPr="00D56AF5">
        <w:rPr>
          <w:rFonts w:ascii="Garamond" w:hAnsi="Garamond"/>
          <w:sz w:val="24"/>
          <w:szCs w:val="24"/>
          <w:lang w:val="en-US"/>
        </w:rPr>
        <w:t>political dimension</w:t>
      </w:r>
      <w:r w:rsidR="009E78FC" w:rsidRPr="00D56AF5">
        <w:rPr>
          <w:rFonts w:ascii="Garamond" w:hAnsi="Garamond"/>
          <w:sz w:val="24"/>
          <w:szCs w:val="24"/>
          <w:lang w:val="en-US"/>
        </w:rPr>
        <w:t xml:space="preserve">. </w:t>
      </w:r>
      <w:r w:rsidR="008062C9" w:rsidRPr="00D56AF5">
        <w:rPr>
          <w:rFonts w:ascii="Garamond" w:hAnsi="Garamond"/>
          <w:sz w:val="24"/>
          <w:szCs w:val="24"/>
          <w:lang w:val="en-US"/>
        </w:rPr>
        <w:t xml:space="preserve">It is also </w:t>
      </w:r>
      <w:r w:rsidR="00770DF9">
        <w:rPr>
          <w:rFonts w:ascii="Garamond" w:hAnsi="Garamond"/>
          <w:sz w:val="24"/>
          <w:szCs w:val="24"/>
          <w:lang w:val="en-US"/>
        </w:rPr>
        <w:t xml:space="preserve">a </w:t>
      </w:r>
      <w:r w:rsidR="008062C9" w:rsidRPr="00D56AF5">
        <w:rPr>
          <w:rFonts w:ascii="Garamond" w:hAnsi="Garamond"/>
          <w:sz w:val="24"/>
          <w:szCs w:val="24"/>
          <w:lang w:val="en-US"/>
        </w:rPr>
        <w:t>value-laden</w:t>
      </w:r>
      <w:r w:rsidR="009E78FC" w:rsidRPr="00D56AF5">
        <w:rPr>
          <w:rFonts w:ascii="Garamond" w:hAnsi="Garamond"/>
          <w:sz w:val="24"/>
          <w:szCs w:val="24"/>
          <w:lang w:val="en-US"/>
        </w:rPr>
        <w:t>, normative</w:t>
      </w:r>
      <w:r w:rsidR="008062C9" w:rsidRPr="00D56AF5">
        <w:rPr>
          <w:rFonts w:ascii="Garamond" w:hAnsi="Garamond"/>
          <w:sz w:val="24"/>
          <w:szCs w:val="24"/>
          <w:lang w:val="en-US"/>
        </w:rPr>
        <w:t xml:space="preserve"> concept. </w:t>
      </w:r>
      <w:r w:rsidR="00320290" w:rsidRPr="00D56AF5">
        <w:rPr>
          <w:rFonts w:ascii="Garamond" w:hAnsi="Garamond"/>
          <w:sz w:val="24"/>
          <w:szCs w:val="24"/>
          <w:lang w:val="en-US"/>
        </w:rPr>
        <w:t>A</w:t>
      </w:r>
      <w:r w:rsidR="00770DF9">
        <w:rPr>
          <w:rFonts w:ascii="Garamond" w:hAnsi="Garamond"/>
          <w:sz w:val="24"/>
          <w:szCs w:val="24"/>
          <w:lang w:val="en-US"/>
        </w:rPr>
        <w:t>s a result,</w:t>
      </w:r>
      <w:r w:rsidR="009E78FC" w:rsidRPr="00D56AF5">
        <w:rPr>
          <w:rFonts w:ascii="Garamond" w:hAnsi="Garamond"/>
          <w:sz w:val="24"/>
          <w:szCs w:val="24"/>
          <w:lang w:val="en-US"/>
        </w:rPr>
        <w:t xml:space="preserve"> </w:t>
      </w:r>
      <w:r w:rsidR="00770DF9">
        <w:rPr>
          <w:rFonts w:ascii="Garamond" w:hAnsi="Garamond"/>
          <w:sz w:val="24"/>
          <w:szCs w:val="24"/>
          <w:lang w:val="en-US"/>
        </w:rPr>
        <w:t xml:space="preserve">a </w:t>
      </w:r>
      <w:r w:rsidR="00320290" w:rsidRPr="00D56AF5">
        <w:rPr>
          <w:rFonts w:ascii="Garamond" w:hAnsi="Garamond"/>
          <w:sz w:val="24"/>
          <w:szCs w:val="24"/>
          <w:lang w:val="en-US"/>
        </w:rPr>
        <w:t xml:space="preserve">solution to the </w:t>
      </w:r>
      <w:r w:rsidR="00320290" w:rsidRPr="00D56AF5">
        <w:rPr>
          <w:rFonts w:ascii="Garamond" w:hAnsi="Garamond"/>
          <w:sz w:val="24"/>
          <w:szCs w:val="24"/>
          <w:lang w:val="en-US"/>
        </w:rPr>
        <w:lastRenderedPageBreak/>
        <w:t>paradox can</w:t>
      </w:r>
      <w:r w:rsidR="004D5561" w:rsidRPr="00D56AF5">
        <w:rPr>
          <w:rFonts w:ascii="Garamond" w:hAnsi="Garamond"/>
          <w:sz w:val="24"/>
          <w:szCs w:val="24"/>
          <w:lang w:val="en-US"/>
        </w:rPr>
        <w:t xml:space="preserve"> neither</w:t>
      </w:r>
      <w:r w:rsidR="00320290" w:rsidRPr="00D56AF5">
        <w:rPr>
          <w:rFonts w:ascii="Garamond" w:hAnsi="Garamond"/>
          <w:sz w:val="24"/>
          <w:szCs w:val="24"/>
          <w:lang w:val="en-US"/>
        </w:rPr>
        <w:t xml:space="preserve"> reside </w:t>
      </w:r>
      <w:r w:rsidR="004D5561" w:rsidRPr="00D56AF5">
        <w:rPr>
          <w:rFonts w:ascii="Garamond" w:hAnsi="Garamond"/>
          <w:sz w:val="24"/>
          <w:szCs w:val="24"/>
          <w:lang w:val="en-US"/>
        </w:rPr>
        <w:t xml:space="preserve">entirely </w:t>
      </w:r>
      <w:r w:rsidR="00320290" w:rsidRPr="00D56AF5">
        <w:rPr>
          <w:rFonts w:ascii="Garamond" w:hAnsi="Garamond"/>
          <w:sz w:val="24"/>
          <w:szCs w:val="24"/>
          <w:lang w:val="en-US"/>
        </w:rPr>
        <w:t>in the legal domai</w:t>
      </w:r>
      <w:r w:rsidR="004D5561" w:rsidRPr="00D56AF5">
        <w:rPr>
          <w:rFonts w:ascii="Garamond" w:hAnsi="Garamond"/>
          <w:sz w:val="24"/>
          <w:szCs w:val="24"/>
          <w:lang w:val="en-US"/>
        </w:rPr>
        <w:t>n, no</w:t>
      </w:r>
      <w:r w:rsidR="00320290" w:rsidRPr="00D56AF5">
        <w:rPr>
          <w:rFonts w:ascii="Garamond" w:hAnsi="Garamond"/>
          <w:sz w:val="24"/>
          <w:szCs w:val="24"/>
          <w:lang w:val="en-US"/>
        </w:rPr>
        <w:t xml:space="preserve">r remain unanchored to </w:t>
      </w:r>
      <w:r w:rsidR="003E5D0A" w:rsidRPr="00D56AF5">
        <w:rPr>
          <w:rFonts w:ascii="Garamond" w:hAnsi="Garamond"/>
          <w:sz w:val="24"/>
          <w:szCs w:val="24"/>
          <w:lang w:val="en-US"/>
        </w:rPr>
        <w:t>value judgements</w:t>
      </w:r>
      <w:r w:rsidR="0048504B" w:rsidRPr="00D56AF5">
        <w:rPr>
          <w:rFonts w:ascii="Garamond" w:hAnsi="Garamond"/>
          <w:sz w:val="24"/>
          <w:szCs w:val="24"/>
          <w:lang w:val="en-US"/>
        </w:rPr>
        <w:t xml:space="preserve">. </w:t>
      </w:r>
      <w:r w:rsidR="00412738" w:rsidRPr="00D56AF5">
        <w:rPr>
          <w:rFonts w:ascii="Garamond" w:hAnsi="Garamond"/>
          <w:sz w:val="24"/>
          <w:szCs w:val="24"/>
          <w:lang w:val="en-US"/>
        </w:rPr>
        <w:t xml:space="preserve"> </w:t>
      </w:r>
    </w:p>
    <w:p w14:paraId="1D8A38DF" w14:textId="191F7014" w:rsidR="00821E57" w:rsidRPr="00D56AF5" w:rsidRDefault="009E65B8" w:rsidP="001340AF">
      <w:pPr>
        <w:spacing w:after="120" w:line="480" w:lineRule="auto"/>
        <w:jc w:val="both"/>
        <w:rPr>
          <w:rFonts w:ascii="Garamond" w:hAnsi="Garamond"/>
          <w:sz w:val="24"/>
          <w:szCs w:val="24"/>
          <w:lang w:val="en-US"/>
        </w:rPr>
      </w:pPr>
      <w:r w:rsidRPr="00D56AF5">
        <w:rPr>
          <w:rFonts w:ascii="Garamond" w:hAnsi="Garamond"/>
          <w:sz w:val="24"/>
          <w:szCs w:val="24"/>
          <w:lang w:val="en-US"/>
        </w:rPr>
        <w:t>Further, c</w:t>
      </w:r>
      <w:r w:rsidR="00AA22E9" w:rsidRPr="00D56AF5">
        <w:rPr>
          <w:rFonts w:ascii="Garamond" w:hAnsi="Garamond"/>
          <w:sz w:val="24"/>
          <w:szCs w:val="24"/>
          <w:lang w:val="en-US"/>
        </w:rPr>
        <w:t xml:space="preserve">onsent neither explains the basis of obligation, nor offers a meaningful explanation for phenomena within </w:t>
      </w:r>
      <w:r w:rsidR="004D37DD" w:rsidRPr="00D56AF5">
        <w:rPr>
          <w:rFonts w:ascii="Garamond" w:hAnsi="Garamond"/>
          <w:sz w:val="24"/>
          <w:szCs w:val="24"/>
          <w:lang w:val="en-US"/>
        </w:rPr>
        <w:t xml:space="preserve">international practice. </w:t>
      </w:r>
      <w:r w:rsidR="00AC12FC" w:rsidRPr="00D56AF5">
        <w:rPr>
          <w:rFonts w:ascii="Garamond" w:hAnsi="Garamond"/>
          <w:sz w:val="24"/>
          <w:szCs w:val="24"/>
          <w:lang w:val="en-US"/>
        </w:rPr>
        <w:t xml:space="preserve">States </w:t>
      </w:r>
      <w:r w:rsidR="000E2E67">
        <w:rPr>
          <w:rFonts w:ascii="Garamond" w:hAnsi="Garamond"/>
          <w:sz w:val="24"/>
          <w:szCs w:val="24"/>
          <w:lang w:val="en-US"/>
        </w:rPr>
        <w:t>are not always</w:t>
      </w:r>
      <w:r w:rsidR="00AC12FC" w:rsidRPr="00D56AF5">
        <w:rPr>
          <w:rFonts w:ascii="Garamond" w:hAnsi="Garamond"/>
          <w:sz w:val="24"/>
          <w:szCs w:val="24"/>
          <w:lang w:val="en-US"/>
        </w:rPr>
        <w:t xml:space="preserve"> bound by obligation</w:t>
      </w:r>
      <w:r w:rsidR="00A9627A" w:rsidRPr="00D56AF5">
        <w:rPr>
          <w:rFonts w:ascii="Garamond" w:hAnsi="Garamond"/>
          <w:sz w:val="24"/>
          <w:szCs w:val="24"/>
          <w:lang w:val="en-US"/>
        </w:rPr>
        <w:t xml:space="preserve">s that reflect their </w:t>
      </w:r>
      <w:r w:rsidR="00AC12FC" w:rsidRPr="00D56AF5">
        <w:rPr>
          <w:rFonts w:ascii="Garamond" w:hAnsi="Garamond"/>
          <w:sz w:val="24"/>
          <w:szCs w:val="24"/>
          <w:lang w:val="en-US"/>
        </w:rPr>
        <w:t xml:space="preserve">will, and they certainly cannot forswear </w:t>
      </w:r>
      <w:r w:rsidR="000E2E67">
        <w:rPr>
          <w:rFonts w:ascii="Garamond" w:hAnsi="Garamond"/>
          <w:sz w:val="24"/>
          <w:szCs w:val="24"/>
          <w:lang w:val="en-US"/>
        </w:rPr>
        <w:t>them</w:t>
      </w:r>
      <w:r w:rsidR="00AC12FC" w:rsidRPr="00D56AF5">
        <w:rPr>
          <w:rFonts w:ascii="Garamond" w:hAnsi="Garamond"/>
          <w:sz w:val="24"/>
          <w:szCs w:val="24"/>
          <w:lang w:val="en-US"/>
        </w:rPr>
        <w:t xml:space="preserve"> through will alone.</w:t>
      </w:r>
      <w:r w:rsidR="00E40536" w:rsidRPr="00D56AF5">
        <w:rPr>
          <w:rStyle w:val="FootnoteReference"/>
          <w:rFonts w:ascii="Garamond" w:hAnsi="Garamond"/>
          <w:sz w:val="24"/>
          <w:szCs w:val="24"/>
          <w:lang w:val="en-US"/>
        </w:rPr>
        <w:footnoteReference w:id="81"/>
      </w:r>
      <w:r w:rsidR="00AC12FC" w:rsidRPr="00D56AF5">
        <w:rPr>
          <w:rFonts w:ascii="Garamond" w:hAnsi="Garamond"/>
          <w:sz w:val="24"/>
          <w:szCs w:val="24"/>
          <w:lang w:val="en-US"/>
        </w:rPr>
        <w:t xml:space="preserve"> </w:t>
      </w:r>
      <w:r w:rsidR="004E5BC3" w:rsidRPr="00D56AF5">
        <w:rPr>
          <w:rFonts w:ascii="Garamond" w:hAnsi="Garamond"/>
          <w:sz w:val="24"/>
          <w:szCs w:val="24"/>
          <w:lang w:val="en-US"/>
        </w:rPr>
        <w:t>T</w:t>
      </w:r>
      <w:r w:rsidR="009C37E5" w:rsidRPr="00D56AF5">
        <w:rPr>
          <w:rFonts w:ascii="Garamond" w:hAnsi="Garamond"/>
          <w:sz w:val="24"/>
          <w:szCs w:val="24"/>
          <w:lang w:val="en-US"/>
        </w:rPr>
        <w:t>he emergence of</w:t>
      </w:r>
      <w:r w:rsidR="00EF26A9" w:rsidRPr="00D56AF5">
        <w:rPr>
          <w:rFonts w:ascii="Garamond" w:hAnsi="Garamond"/>
          <w:sz w:val="24"/>
          <w:szCs w:val="24"/>
          <w:lang w:val="en-US"/>
        </w:rPr>
        <w:t xml:space="preserve"> jus cogens norms</w:t>
      </w:r>
      <w:r w:rsidR="009C37E5" w:rsidRPr="00D56AF5">
        <w:rPr>
          <w:rFonts w:ascii="Garamond" w:hAnsi="Garamond"/>
          <w:sz w:val="24"/>
          <w:szCs w:val="24"/>
          <w:lang w:val="en-US"/>
        </w:rPr>
        <w:t>,</w:t>
      </w:r>
      <w:r w:rsidR="00925914" w:rsidRPr="00D56AF5">
        <w:rPr>
          <w:rFonts w:ascii="Garamond" w:hAnsi="Garamond"/>
          <w:sz w:val="24"/>
          <w:szCs w:val="24"/>
          <w:lang w:val="en-US"/>
        </w:rPr>
        <w:t xml:space="preserve"> the obligations </w:t>
      </w:r>
      <w:proofErr w:type="spellStart"/>
      <w:r w:rsidR="00925914" w:rsidRPr="00D424BE">
        <w:rPr>
          <w:rFonts w:ascii="Garamond" w:hAnsi="Garamond"/>
          <w:i/>
          <w:iCs/>
          <w:sz w:val="24"/>
          <w:szCs w:val="24"/>
          <w:lang w:val="en-US"/>
        </w:rPr>
        <w:t>erga</w:t>
      </w:r>
      <w:proofErr w:type="spellEnd"/>
      <w:r w:rsidR="00925914" w:rsidRPr="00D424BE">
        <w:rPr>
          <w:rFonts w:ascii="Garamond" w:hAnsi="Garamond"/>
          <w:i/>
          <w:iCs/>
          <w:sz w:val="24"/>
          <w:szCs w:val="24"/>
          <w:lang w:val="en-US"/>
        </w:rPr>
        <w:t xml:space="preserve"> omnes</w:t>
      </w:r>
      <w:r w:rsidR="00925914" w:rsidRPr="00D56AF5">
        <w:rPr>
          <w:rFonts w:ascii="Garamond" w:hAnsi="Garamond"/>
          <w:sz w:val="24"/>
          <w:szCs w:val="24"/>
          <w:lang w:val="en-US"/>
        </w:rPr>
        <w:t xml:space="preserve"> that stem from them</w:t>
      </w:r>
      <w:r w:rsidR="00D424BE">
        <w:rPr>
          <w:rFonts w:ascii="Garamond" w:hAnsi="Garamond"/>
          <w:sz w:val="24"/>
          <w:szCs w:val="24"/>
          <w:lang w:val="en-US"/>
        </w:rPr>
        <w:t>,</w:t>
      </w:r>
      <w:r w:rsidR="00925914" w:rsidRPr="00D56AF5">
        <w:rPr>
          <w:rFonts w:ascii="Garamond" w:hAnsi="Garamond"/>
          <w:sz w:val="24"/>
          <w:szCs w:val="24"/>
          <w:lang w:val="en-US"/>
        </w:rPr>
        <w:t xml:space="preserve"> and their </w:t>
      </w:r>
      <w:r w:rsidR="000E2E67">
        <w:rPr>
          <w:rFonts w:ascii="Garamond" w:hAnsi="Garamond"/>
          <w:sz w:val="24"/>
          <w:szCs w:val="24"/>
          <w:lang w:val="en-US"/>
        </w:rPr>
        <w:t>invalidating effects on substantively conflicting treaties</w:t>
      </w:r>
      <w:r w:rsidR="009B7A6C" w:rsidRPr="00D56AF5">
        <w:rPr>
          <w:rFonts w:ascii="Garamond" w:hAnsi="Garamond"/>
          <w:sz w:val="24"/>
          <w:szCs w:val="24"/>
          <w:lang w:val="en-US"/>
        </w:rPr>
        <w:t>,</w:t>
      </w:r>
      <w:r w:rsidR="009C37E5" w:rsidRPr="00D56AF5">
        <w:rPr>
          <w:rFonts w:ascii="Garamond" w:hAnsi="Garamond"/>
          <w:sz w:val="24"/>
          <w:szCs w:val="24"/>
          <w:lang w:val="en-US"/>
        </w:rPr>
        <w:t xml:space="preserve"> </w:t>
      </w:r>
      <w:r w:rsidR="004E5BC3" w:rsidRPr="00D56AF5">
        <w:rPr>
          <w:rFonts w:ascii="Garamond" w:hAnsi="Garamond"/>
          <w:sz w:val="24"/>
          <w:szCs w:val="24"/>
          <w:lang w:val="en-US"/>
        </w:rPr>
        <w:t xml:space="preserve">are not </w:t>
      </w:r>
      <w:r w:rsidR="004264D0" w:rsidRPr="00D56AF5">
        <w:rPr>
          <w:rFonts w:ascii="Garamond" w:hAnsi="Garamond"/>
          <w:sz w:val="24"/>
          <w:szCs w:val="24"/>
          <w:lang w:val="en-US"/>
        </w:rPr>
        <w:t xml:space="preserve">accounted for by </w:t>
      </w:r>
      <w:r w:rsidR="009C37E5" w:rsidRPr="00D56AF5">
        <w:rPr>
          <w:rFonts w:ascii="Garamond" w:hAnsi="Garamond"/>
          <w:sz w:val="24"/>
          <w:szCs w:val="24"/>
          <w:lang w:val="en-US"/>
        </w:rPr>
        <w:t>a consent-based source of obligation.</w:t>
      </w:r>
      <w:r w:rsidR="00EF26A9" w:rsidRPr="00D56AF5">
        <w:rPr>
          <w:rFonts w:ascii="Garamond" w:hAnsi="Garamond"/>
          <w:sz w:val="24"/>
          <w:szCs w:val="24"/>
          <w:lang w:val="en-US"/>
        </w:rPr>
        <w:t xml:space="preserve"> </w:t>
      </w:r>
      <w:r w:rsidRPr="00D56AF5">
        <w:rPr>
          <w:rFonts w:ascii="Garamond" w:hAnsi="Garamond"/>
          <w:sz w:val="24"/>
          <w:szCs w:val="24"/>
          <w:lang w:val="en-US"/>
        </w:rPr>
        <w:t xml:space="preserve">This explanatory vacuum persists for </w:t>
      </w:r>
      <w:r w:rsidR="009C37E5" w:rsidRPr="00D56AF5">
        <w:rPr>
          <w:rFonts w:ascii="Garamond" w:hAnsi="Garamond"/>
          <w:sz w:val="24"/>
          <w:szCs w:val="24"/>
          <w:lang w:val="en-US"/>
        </w:rPr>
        <w:t xml:space="preserve">the </w:t>
      </w:r>
      <w:r w:rsidR="00EF26A9" w:rsidRPr="00D56AF5">
        <w:rPr>
          <w:rFonts w:ascii="Garamond" w:hAnsi="Garamond"/>
          <w:sz w:val="24"/>
          <w:szCs w:val="24"/>
          <w:lang w:val="en-US"/>
        </w:rPr>
        <w:t>expansive</w:t>
      </w:r>
      <w:r w:rsidR="002D1F8C" w:rsidRPr="00D56AF5">
        <w:rPr>
          <w:rFonts w:ascii="Garamond" w:hAnsi="Garamond"/>
          <w:sz w:val="24"/>
          <w:szCs w:val="24"/>
          <w:lang w:val="en-US"/>
        </w:rPr>
        <w:t>, almost corrosive</w:t>
      </w:r>
      <w:r w:rsidR="00EF26A9" w:rsidRPr="00D56AF5">
        <w:rPr>
          <w:rFonts w:ascii="Garamond" w:hAnsi="Garamond"/>
          <w:sz w:val="24"/>
          <w:szCs w:val="24"/>
          <w:lang w:val="en-US"/>
        </w:rPr>
        <w:t xml:space="preserve"> jurisdiction of supranational organizations</w:t>
      </w:r>
      <w:r w:rsidR="009B7A6C" w:rsidRPr="00D56AF5">
        <w:rPr>
          <w:rFonts w:ascii="Garamond" w:hAnsi="Garamond"/>
          <w:sz w:val="24"/>
          <w:szCs w:val="24"/>
          <w:lang w:val="en-US"/>
        </w:rPr>
        <w:t xml:space="preserve">, </w:t>
      </w:r>
      <w:r w:rsidRPr="00D56AF5">
        <w:rPr>
          <w:rFonts w:ascii="Garamond" w:hAnsi="Garamond"/>
          <w:sz w:val="24"/>
          <w:szCs w:val="24"/>
          <w:lang w:val="en-US"/>
        </w:rPr>
        <w:t>and</w:t>
      </w:r>
      <w:r w:rsidR="009B7A6C" w:rsidRPr="00D56AF5">
        <w:rPr>
          <w:rFonts w:ascii="Garamond" w:hAnsi="Garamond"/>
          <w:sz w:val="24"/>
          <w:szCs w:val="24"/>
          <w:lang w:val="en-US"/>
        </w:rPr>
        <w:t xml:space="preserve"> </w:t>
      </w:r>
      <w:r w:rsidR="00EF26A9" w:rsidRPr="00D56AF5">
        <w:rPr>
          <w:rFonts w:ascii="Garamond" w:hAnsi="Garamond"/>
          <w:sz w:val="24"/>
          <w:szCs w:val="24"/>
          <w:lang w:val="en-US"/>
        </w:rPr>
        <w:t xml:space="preserve">the ability of non-state actors to assume international legal personality and </w:t>
      </w:r>
      <w:r w:rsidR="003D7E56" w:rsidRPr="00D56AF5">
        <w:rPr>
          <w:rFonts w:ascii="Garamond" w:hAnsi="Garamond"/>
          <w:sz w:val="24"/>
          <w:szCs w:val="24"/>
          <w:lang w:val="en-US"/>
        </w:rPr>
        <w:t>operate</w:t>
      </w:r>
      <w:r w:rsidR="00EF26A9" w:rsidRPr="00D56AF5">
        <w:rPr>
          <w:rFonts w:ascii="Garamond" w:hAnsi="Garamond"/>
          <w:sz w:val="24"/>
          <w:szCs w:val="24"/>
          <w:lang w:val="en-US"/>
        </w:rPr>
        <w:t xml:space="preserve"> on the international plane.</w:t>
      </w:r>
      <w:r w:rsidR="00EF26A9" w:rsidRPr="00D56AF5">
        <w:rPr>
          <w:rStyle w:val="FootnoteReference"/>
          <w:rFonts w:ascii="Garamond" w:hAnsi="Garamond"/>
          <w:sz w:val="24"/>
          <w:szCs w:val="24"/>
          <w:lang w:val="en-US"/>
        </w:rPr>
        <w:footnoteReference w:id="82"/>
      </w:r>
      <w:r w:rsidR="00EF26A9" w:rsidRPr="00D56AF5">
        <w:rPr>
          <w:rFonts w:ascii="Garamond" w:hAnsi="Garamond"/>
          <w:sz w:val="24"/>
          <w:szCs w:val="24"/>
          <w:lang w:val="en-US"/>
        </w:rPr>
        <w:t xml:space="preserve"> </w:t>
      </w:r>
    </w:p>
    <w:p w14:paraId="09C74EC8" w14:textId="7964DAF6" w:rsidR="0078232C" w:rsidRPr="00D56AF5" w:rsidRDefault="007049B3" w:rsidP="001340AF">
      <w:pPr>
        <w:spacing w:after="120" w:line="480" w:lineRule="auto"/>
        <w:jc w:val="both"/>
        <w:rPr>
          <w:rFonts w:ascii="Garamond" w:hAnsi="Garamond"/>
          <w:sz w:val="24"/>
          <w:szCs w:val="24"/>
          <w:lang w:val="en-US"/>
        </w:rPr>
      </w:pPr>
      <w:r w:rsidRPr="00D56AF5">
        <w:rPr>
          <w:rFonts w:ascii="Garamond" w:hAnsi="Garamond"/>
          <w:sz w:val="24"/>
          <w:szCs w:val="24"/>
          <w:lang w:val="en-US"/>
        </w:rPr>
        <w:t>A consent theory</w:t>
      </w:r>
      <w:r w:rsidR="00EC251F" w:rsidRPr="00D56AF5">
        <w:rPr>
          <w:rFonts w:ascii="Garamond" w:hAnsi="Garamond"/>
          <w:sz w:val="24"/>
          <w:szCs w:val="24"/>
          <w:lang w:val="en-US"/>
        </w:rPr>
        <w:t xml:space="preserve"> </w:t>
      </w:r>
      <w:r w:rsidR="0081771D" w:rsidRPr="00D56AF5">
        <w:rPr>
          <w:rFonts w:ascii="Garamond" w:hAnsi="Garamond"/>
          <w:sz w:val="24"/>
          <w:szCs w:val="24"/>
          <w:lang w:val="en-US"/>
        </w:rPr>
        <w:t xml:space="preserve">also </w:t>
      </w:r>
      <w:r w:rsidRPr="00D56AF5">
        <w:rPr>
          <w:rFonts w:ascii="Garamond" w:hAnsi="Garamond"/>
          <w:sz w:val="24"/>
          <w:szCs w:val="24"/>
          <w:lang w:val="en-US"/>
        </w:rPr>
        <w:t xml:space="preserve">does not tell us if a state’s consent </w:t>
      </w:r>
      <w:r w:rsidR="00113042" w:rsidRPr="00D56AF5">
        <w:rPr>
          <w:rFonts w:ascii="Garamond" w:hAnsi="Garamond"/>
          <w:sz w:val="24"/>
          <w:szCs w:val="24"/>
          <w:lang w:val="en-US"/>
        </w:rPr>
        <w:t xml:space="preserve">is sufficient to validate every kind of international </w:t>
      </w:r>
      <w:r w:rsidR="000464C8" w:rsidRPr="00D56AF5">
        <w:rPr>
          <w:rFonts w:ascii="Garamond" w:hAnsi="Garamond"/>
          <w:sz w:val="24"/>
          <w:szCs w:val="24"/>
          <w:lang w:val="en-US"/>
        </w:rPr>
        <w:t xml:space="preserve">legal </w:t>
      </w:r>
      <w:r w:rsidR="00113042" w:rsidRPr="00D56AF5">
        <w:rPr>
          <w:rFonts w:ascii="Garamond" w:hAnsi="Garamond"/>
          <w:sz w:val="24"/>
          <w:szCs w:val="24"/>
          <w:lang w:val="en-US"/>
        </w:rPr>
        <w:t xml:space="preserve">rule, regardless of its </w:t>
      </w:r>
      <w:r w:rsidR="000464C8" w:rsidRPr="00D56AF5">
        <w:rPr>
          <w:rFonts w:ascii="Garamond" w:hAnsi="Garamond"/>
          <w:sz w:val="24"/>
          <w:szCs w:val="24"/>
          <w:lang w:val="en-US"/>
        </w:rPr>
        <w:t xml:space="preserve">content or </w:t>
      </w:r>
      <w:r w:rsidR="00113042" w:rsidRPr="00D56AF5">
        <w:rPr>
          <w:rFonts w:ascii="Garamond" w:hAnsi="Garamond"/>
          <w:sz w:val="24"/>
          <w:szCs w:val="24"/>
          <w:lang w:val="en-US"/>
        </w:rPr>
        <w:t xml:space="preserve">repercussions for the state, and it does not explain whether </w:t>
      </w:r>
      <w:r w:rsidR="00AC2F11" w:rsidRPr="00D56AF5">
        <w:rPr>
          <w:rFonts w:ascii="Garamond" w:hAnsi="Garamond"/>
          <w:sz w:val="24"/>
          <w:szCs w:val="24"/>
          <w:lang w:val="en-US"/>
        </w:rPr>
        <w:t xml:space="preserve">autonomous rules of international law </w:t>
      </w:r>
      <w:r w:rsidR="00EF26A9" w:rsidRPr="00D56AF5">
        <w:rPr>
          <w:rFonts w:ascii="Garamond" w:hAnsi="Garamond"/>
          <w:sz w:val="24"/>
          <w:szCs w:val="24"/>
          <w:lang w:val="en-US"/>
        </w:rPr>
        <w:t>erode sovereignty</w:t>
      </w:r>
      <w:r w:rsidR="00AC2F11" w:rsidRPr="00D56AF5">
        <w:rPr>
          <w:rFonts w:ascii="Garamond" w:hAnsi="Garamond"/>
          <w:sz w:val="24"/>
          <w:szCs w:val="24"/>
          <w:lang w:val="en-US"/>
        </w:rPr>
        <w:t xml:space="preserve"> or are </w:t>
      </w:r>
      <w:r w:rsidR="00EF26A9" w:rsidRPr="00D56AF5">
        <w:rPr>
          <w:rFonts w:ascii="Garamond" w:hAnsi="Garamond"/>
          <w:sz w:val="24"/>
          <w:szCs w:val="24"/>
          <w:lang w:val="en-US"/>
        </w:rPr>
        <w:t xml:space="preserve">legitimate reasons for states to concede losses of sovereignty. This is because these are normative questions, and consent theorists disavow normative commitments in their resolution of the paradox. </w:t>
      </w:r>
    </w:p>
    <w:p w14:paraId="47B14B98" w14:textId="1D08FAE4" w:rsidR="001A4843" w:rsidRPr="00D56AF5" w:rsidRDefault="00A454AA" w:rsidP="001340AF">
      <w:pPr>
        <w:spacing w:after="120" w:line="480" w:lineRule="auto"/>
        <w:jc w:val="both"/>
        <w:rPr>
          <w:rFonts w:ascii="Garamond" w:hAnsi="Garamond"/>
          <w:sz w:val="24"/>
          <w:szCs w:val="24"/>
          <w:lang w:val="en-US"/>
        </w:rPr>
      </w:pPr>
      <w:r>
        <w:rPr>
          <w:rFonts w:ascii="Garamond" w:hAnsi="Garamond"/>
          <w:sz w:val="24"/>
          <w:szCs w:val="24"/>
          <w:lang w:val="en-US"/>
        </w:rPr>
        <w:t>T</w:t>
      </w:r>
      <w:r w:rsidR="001A4843" w:rsidRPr="00D56AF5">
        <w:rPr>
          <w:rFonts w:ascii="Garamond" w:hAnsi="Garamond"/>
          <w:sz w:val="24"/>
          <w:szCs w:val="24"/>
          <w:lang w:val="en-US"/>
        </w:rPr>
        <w:t xml:space="preserve">he defects of a voluntarist explanation of international law were </w:t>
      </w:r>
      <w:r w:rsidR="00903E6E">
        <w:rPr>
          <w:rFonts w:ascii="Garamond" w:hAnsi="Garamond"/>
          <w:sz w:val="24"/>
          <w:szCs w:val="24"/>
          <w:lang w:val="en-US"/>
        </w:rPr>
        <w:t>highlighted</w:t>
      </w:r>
      <w:r w:rsidR="001A4843" w:rsidRPr="00D56AF5">
        <w:rPr>
          <w:rFonts w:ascii="Garamond" w:hAnsi="Garamond"/>
          <w:sz w:val="24"/>
          <w:szCs w:val="24"/>
          <w:lang w:val="en-US"/>
        </w:rPr>
        <w:t xml:space="preserve"> by Judge </w:t>
      </w:r>
      <w:proofErr w:type="spellStart"/>
      <w:r w:rsidR="001A4843" w:rsidRPr="00D56AF5">
        <w:rPr>
          <w:rFonts w:ascii="Garamond" w:hAnsi="Garamond"/>
          <w:sz w:val="24"/>
          <w:szCs w:val="24"/>
          <w:lang w:val="en-US"/>
        </w:rPr>
        <w:t>Shahbuddeen</w:t>
      </w:r>
      <w:proofErr w:type="spellEnd"/>
      <w:r w:rsidR="001A4843" w:rsidRPr="00D56AF5">
        <w:rPr>
          <w:rFonts w:ascii="Garamond" w:hAnsi="Garamond"/>
          <w:sz w:val="24"/>
          <w:szCs w:val="24"/>
          <w:lang w:val="en-US"/>
        </w:rPr>
        <w:t xml:space="preserve"> in the </w:t>
      </w:r>
      <w:proofErr w:type="gramStart"/>
      <w:r w:rsidR="001A4843" w:rsidRPr="00D56AF5">
        <w:rPr>
          <w:rFonts w:ascii="Garamond" w:hAnsi="Garamond"/>
          <w:sz w:val="24"/>
          <w:szCs w:val="24"/>
          <w:lang w:val="en-US"/>
        </w:rPr>
        <w:t>Nuclear Weapons</w:t>
      </w:r>
      <w:proofErr w:type="gramEnd"/>
      <w:r w:rsidR="001A4843" w:rsidRPr="00D56AF5">
        <w:rPr>
          <w:rFonts w:ascii="Garamond" w:hAnsi="Garamond"/>
          <w:sz w:val="24"/>
          <w:szCs w:val="24"/>
          <w:lang w:val="en-US"/>
        </w:rPr>
        <w:t xml:space="preserve"> Advisory Opinion. </w:t>
      </w:r>
      <w:r w:rsidR="00F72245" w:rsidRPr="00D56AF5">
        <w:rPr>
          <w:rFonts w:ascii="Garamond" w:hAnsi="Garamond"/>
          <w:sz w:val="24"/>
          <w:szCs w:val="24"/>
          <w:lang w:val="en-US"/>
        </w:rPr>
        <w:t xml:space="preserve">He recognized that the Lotus principle, by allowing for any exercise of freedom unless expressly prohibited, would essentially </w:t>
      </w:r>
      <w:r w:rsidR="00B343A9" w:rsidRPr="00D56AF5">
        <w:rPr>
          <w:rFonts w:ascii="Garamond" w:hAnsi="Garamond"/>
          <w:sz w:val="24"/>
          <w:szCs w:val="24"/>
          <w:lang w:val="en-US"/>
        </w:rPr>
        <w:t>entitle</w:t>
      </w:r>
      <w:r w:rsidR="00F72245" w:rsidRPr="00D56AF5">
        <w:rPr>
          <w:rFonts w:ascii="Garamond" w:hAnsi="Garamond"/>
          <w:sz w:val="24"/>
          <w:szCs w:val="24"/>
          <w:lang w:val="en-US"/>
        </w:rPr>
        <w:t xml:space="preserve"> states to</w:t>
      </w:r>
      <w:r w:rsidR="002F6DE0" w:rsidRPr="00D56AF5">
        <w:rPr>
          <w:rFonts w:ascii="Garamond" w:hAnsi="Garamond"/>
          <w:sz w:val="24"/>
          <w:szCs w:val="24"/>
          <w:lang w:val="en-US"/>
        </w:rPr>
        <w:t xml:space="preserve"> behave both internally and externally in</w:t>
      </w:r>
      <w:r w:rsidR="00B343A9" w:rsidRPr="00D56AF5">
        <w:rPr>
          <w:rFonts w:ascii="Garamond" w:hAnsi="Garamond"/>
          <w:sz w:val="24"/>
          <w:szCs w:val="24"/>
          <w:lang w:val="en-US"/>
        </w:rPr>
        <w:t xml:space="preserve"> a manner that was </w:t>
      </w:r>
      <w:r w:rsidR="00AE3799" w:rsidRPr="00D56AF5">
        <w:rPr>
          <w:rFonts w:ascii="Garamond" w:hAnsi="Garamond"/>
          <w:sz w:val="24"/>
          <w:szCs w:val="24"/>
          <w:lang w:val="en-US"/>
        </w:rPr>
        <w:t>“</w:t>
      </w:r>
      <w:r w:rsidR="00B343A9" w:rsidRPr="00D56AF5">
        <w:rPr>
          <w:rFonts w:ascii="Garamond" w:hAnsi="Garamond"/>
          <w:sz w:val="24"/>
          <w:szCs w:val="24"/>
          <w:lang w:val="en-US"/>
        </w:rPr>
        <w:t>horrid or repugnant to the sense of the international community</w:t>
      </w:r>
      <w:r w:rsidR="00AE3799" w:rsidRPr="00D56AF5">
        <w:rPr>
          <w:rFonts w:ascii="Garamond" w:hAnsi="Garamond"/>
          <w:sz w:val="24"/>
          <w:szCs w:val="24"/>
          <w:lang w:val="en-US"/>
        </w:rPr>
        <w:t xml:space="preserve">” </w:t>
      </w:r>
      <w:r w:rsidR="00291CEC" w:rsidRPr="00D56AF5">
        <w:rPr>
          <w:rFonts w:ascii="Garamond" w:hAnsi="Garamond"/>
          <w:sz w:val="24"/>
          <w:szCs w:val="24"/>
          <w:lang w:val="en-US"/>
        </w:rPr>
        <w:t xml:space="preserve">or </w:t>
      </w:r>
      <w:r w:rsidR="00A83B7E" w:rsidRPr="00D56AF5">
        <w:rPr>
          <w:rFonts w:ascii="Garamond" w:hAnsi="Garamond"/>
          <w:sz w:val="24"/>
          <w:szCs w:val="24"/>
          <w:lang w:val="en-US"/>
        </w:rPr>
        <w:t>which could “deprive</w:t>
      </w:r>
      <w:r w:rsidR="0040171F" w:rsidRPr="00D56AF5">
        <w:rPr>
          <w:rFonts w:ascii="Garamond" w:hAnsi="Garamond"/>
          <w:sz w:val="24"/>
          <w:szCs w:val="24"/>
          <w:lang w:val="en-US"/>
        </w:rPr>
        <w:t xml:space="preserve"> the sovereignty of all other States of meaning</w:t>
      </w:r>
      <w:r w:rsidR="00A83B7E" w:rsidRPr="00D56AF5">
        <w:rPr>
          <w:rFonts w:ascii="Garamond" w:hAnsi="Garamond"/>
          <w:sz w:val="24"/>
          <w:szCs w:val="24"/>
          <w:lang w:val="en-US"/>
        </w:rPr>
        <w:t>”</w:t>
      </w:r>
      <w:r w:rsidR="00AE3799" w:rsidRPr="00D56AF5">
        <w:rPr>
          <w:rFonts w:ascii="Garamond" w:hAnsi="Garamond"/>
          <w:sz w:val="24"/>
          <w:szCs w:val="24"/>
          <w:lang w:val="en-US"/>
        </w:rPr>
        <w:t>.</w:t>
      </w:r>
      <w:r w:rsidR="001A4843" w:rsidRPr="00D56AF5">
        <w:rPr>
          <w:rStyle w:val="FootnoteReference"/>
          <w:rFonts w:ascii="Garamond" w:hAnsi="Garamond"/>
          <w:sz w:val="24"/>
          <w:szCs w:val="24"/>
          <w:lang w:val="en-US"/>
        </w:rPr>
        <w:footnoteReference w:id="83"/>
      </w:r>
      <w:r w:rsidR="001A4843" w:rsidRPr="00D56AF5">
        <w:rPr>
          <w:rFonts w:ascii="Garamond" w:hAnsi="Garamond"/>
          <w:sz w:val="24"/>
          <w:szCs w:val="24"/>
          <w:lang w:val="en-US"/>
        </w:rPr>
        <w:t xml:space="preserve"> </w:t>
      </w:r>
      <w:r w:rsidR="00960A2F" w:rsidRPr="00D56AF5">
        <w:rPr>
          <w:rFonts w:ascii="Garamond" w:hAnsi="Garamond"/>
          <w:sz w:val="24"/>
          <w:szCs w:val="24"/>
          <w:lang w:val="en-US"/>
        </w:rPr>
        <w:t xml:space="preserve">Therefore, he rejected the </w:t>
      </w:r>
      <w:r w:rsidR="00FC75A2">
        <w:rPr>
          <w:rFonts w:ascii="Garamond" w:hAnsi="Garamond"/>
          <w:sz w:val="24"/>
          <w:szCs w:val="24"/>
          <w:lang w:val="en-US"/>
        </w:rPr>
        <w:t>possibility that sovereignty entailed</w:t>
      </w:r>
      <w:r w:rsidR="00960A2F" w:rsidRPr="00D56AF5">
        <w:rPr>
          <w:rFonts w:ascii="Garamond" w:hAnsi="Garamond"/>
          <w:sz w:val="24"/>
          <w:szCs w:val="24"/>
          <w:lang w:val="en-US"/>
        </w:rPr>
        <w:t xml:space="preserve"> unrestrained freedom in the absence of a voluntarily assumed prohibition.</w:t>
      </w:r>
    </w:p>
    <w:p w14:paraId="571E949D" w14:textId="1C275BAA" w:rsidR="001A4843" w:rsidRPr="00D56AF5" w:rsidRDefault="00A454AA" w:rsidP="001340AF">
      <w:pPr>
        <w:spacing w:after="120" w:line="480" w:lineRule="auto"/>
        <w:jc w:val="both"/>
        <w:rPr>
          <w:rFonts w:ascii="Garamond" w:hAnsi="Garamond"/>
          <w:sz w:val="24"/>
          <w:szCs w:val="24"/>
          <w:lang w:val="en-US"/>
        </w:rPr>
      </w:pPr>
      <w:r>
        <w:rPr>
          <w:rFonts w:ascii="Garamond" w:hAnsi="Garamond"/>
          <w:sz w:val="24"/>
          <w:szCs w:val="24"/>
          <w:lang w:val="en-US"/>
        </w:rPr>
        <w:lastRenderedPageBreak/>
        <w:t>Indeed</w:t>
      </w:r>
      <w:r w:rsidR="00A02D6E" w:rsidRPr="00D56AF5">
        <w:rPr>
          <w:rFonts w:ascii="Garamond" w:hAnsi="Garamond"/>
          <w:sz w:val="24"/>
          <w:szCs w:val="24"/>
          <w:lang w:val="en-US"/>
        </w:rPr>
        <w:t xml:space="preserve">, the consent theory </w:t>
      </w:r>
      <w:r w:rsidR="00EF26A9" w:rsidRPr="00D56AF5">
        <w:rPr>
          <w:rFonts w:ascii="Garamond" w:hAnsi="Garamond"/>
          <w:sz w:val="24"/>
          <w:szCs w:val="24"/>
          <w:lang w:val="en-US"/>
        </w:rPr>
        <w:t xml:space="preserve">would merely tell </w:t>
      </w:r>
      <w:r w:rsidR="002747B6" w:rsidRPr="00D56AF5">
        <w:rPr>
          <w:rFonts w:ascii="Garamond" w:hAnsi="Garamond"/>
          <w:sz w:val="24"/>
          <w:szCs w:val="24"/>
          <w:lang w:val="en-US"/>
        </w:rPr>
        <w:t>us</w:t>
      </w:r>
      <w:r w:rsidR="00EF26A9" w:rsidRPr="00D56AF5">
        <w:rPr>
          <w:rFonts w:ascii="Garamond" w:hAnsi="Garamond"/>
          <w:sz w:val="24"/>
          <w:szCs w:val="24"/>
          <w:lang w:val="en-US"/>
        </w:rPr>
        <w:t xml:space="preserve"> </w:t>
      </w:r>
      <w:r w:rsidR="002747B6" w:rsidRPr="00D56AF5">
        <w:rPr>
          <w:rFonts w:ascii="Garamond" w:hAnsi="Garamond"/>
          <w:sz w:val="24"/>
          <w:szCs w:val="24"/>
          <w:lang w:val="en-US"/>
        </w:rPr>
        <w:t xml:space="preserve">that </w:t>
      </w:r>
      <w:r w:rsidR="00EF26A9" w:rsidRPr="00D56AF5">
        <w:rPr>
          <w:rFonts w:ascii="Garamond" w:hAnsi="Garamond"/>
          <w:sz w:val="24"/>
          <w:szCs w:val="24"/>
          <w:lang w:val="en-US"/>
        </w:rPr>
        <w:t xml:space="preserve">if formal conditions for rendering </w:t>
      </w:r>
      <w:r w:rsidR="00A02D6E" w:rsidRPr="00D56AF5">
        <w:rPr>
          <w:rFonts w:ascii="Garamond" w:hAnsi="Garamond"/>
          <w:sz w:val="24"/>
          <w:szCs w:val="24"/>
          <w:lang w:val="en-US"/>
        </w:rPr>
        <w:t xml:space="preserve">consent to treaty-based </w:t>
      </w:r>
      <w:r w:rsidR="00EF26A9" w:rsidRPr="00D56AF5">
        <w:rPr>
          <w:rFonts w:ascii="Garamond" w:hAnsi="Garamond"/>
          <w:sz w:val="24"/>
          <w:szCs w:val="24"/>
          <w:lang w:val="en-US"/>
        </w:rPr>
        <w:t>standing authorization</w:t>
      </w:r>
      <w:r w:rsidR="00087BCF">
        <w:rPr>
          <w:rFonts w:ascii="Garamond" w:hAnsi="Garamond"/>
          <w:sz w:val="24"/>
          <w:szCs w:val="24"/>
          <w:lang w:val="en-US"/>
        </w:rPr>
        <w:t>s</w:t>
      </w:r>
      <w:r w:rsidR="00EF26A9" w:rsidRPr="00D56AF5">
        <w:rPr>
          <w:rFonts w:ascii="Garamond" w:hAnsi="Garamond"/>
          <w:sz w:val="24"/>
          <w:szCs w:val="24"/>
          <w:lang w:val="en-US"/>
        </w:rPr>
        <w:t xml:space="preserve"> are met</w:t>
      </w:r>
      <w:r w:rsidR="002747B6" w:rsidRPr="00D56AF5">
        <w:rPr>
          <w:rFonts w:ascii="Garamond" w:hAnsi="Garamond"/>
          <w:sz w:val="24"/>
          <w:szCs w:val="24"/>
          <w:lang w:val="en-US"/>
        </w:rPr>
        <w:t xml:space="preserve">, </w:t>
      </w:r>
      <w:r w:rsidR="00EF26A9" w:rsidRPr="00D56AF5">
        <w:rPr>
          <w:rFonts w:ascii="Garamond" w:hAnsi="Garamond"/>
          <w:sz w:val="24"/>
          <w:szCs w:val="24"/>
          <w:lang w:val="en-US"/>
        </w:rPr>
        <w:t xml:space="preserve">then </w:t>
      </w:r>
      <w:r w:rsidR="00A02D6E" w:rsidRPr="00D56AF5">
        <w:rPr>
          <w:rFonts w:ascii="Garamond" w:hAnsi="Garamond"/>
          <w:sz w:val="24"/>
          <w:szCs w:val="24"/>
          <w:lang w:val="en-US"/>
        </w:rPr>
        <w:t xml:space="preserve">such authorizations </w:t>
      </w:r>
      <w:r w:rsidR="00EF26A9" w:rsidRPr="00D56AF5">
        <w:rPr>
          <w:rFonts w:ascii="Garamond" w:hAnsi="Garamond"/>
          <w:sz w:val="24"/>
          <w:szCs w:val="24"/>
          <w:lang w:val="en-US"/>
        </w:rPr>
        <w:t>bind states</w:t>
      </w:r>
      <w:r w:rsidR="00A02D6E" w:rsidRPr="00D56AF5">
        <w:rPr>
          <w:rFonts w:ascii="Garamond" w:hAnsi="Garamond"/>
          <w:sz w:val="24"/>
          <w:szCs w:val="24"/>
          <w:lang w:val="en-US"/>
        </w:rPr>
        <w:t xml:space="preserve"> until the point of intervention</w:t>
      </w:r>
      <w:r w:rsidR="00EF26A9" w:rsidRPr="00D56AF5">
        <w:rPr>
          <w:rFonts w:ascii="Garamond" w:hAnsi="Garamond"/>
          <w:sz w:val="24"/>
          <w:szCs w:val="24"/>
          <w:lang w:val="en-US"/>
        </w:rPr>
        <w:t xml:space="preserve">. </w:t>
      </w:r>
      <w:r w:rsidR="009E775F" w:rsidRPr="00D56AF5">
        <w:rPr>
          <w:rFonts w:ascii="Garamond" w:hAnsi="Garamond"/>
          <w:sz w:val="24"/>
          <w:szCs w:val="24"/>
          <w:lang w:val="en-US"/>
        </w:rPr>
        <w:t>However</w:t>
      </w:r>
      <w:r w:rsidR="00FE3DD7" w:rsidRPr="00D56AF5">
        <w:rPr>
          <w:rFonts w:ascii="Garamond" w:hAnsi="Garamond"/>
          <w:sz w:val="24"/>
          <w:szCs w:val="24"/>
          <w:lang w:val="en-US"/>
        </w:rPr>
        <w:t xml:space="preserve">, </w:t>
      </w:r>
      <w:r w:rsidR="00A02D6E" w:rsidRPr="00D56AF5">
        <w:rPr>
          <w:rFonts w:ascii="Garamond" w:hAnsi="Garamond"/>
          <w:sz w:val="24"/>
          <w:szCs w:val="24"/>
          <w:lang w:val="en-US"/>
        </w:rPr>
        <w:t xml:space="preserve">this does not </w:t>
      </w:r>
      <w:r w:rsidR="00163A43" w:rsidRPr="00D56AF5">
        <w:rPr>
          <w:rFonts w:ascii="Garamond" w:hAnsi="Garamond"/>
          <w:sz w:val="24"/>
          <w:szCs w:val="24"/>
          <w:lang w:val="en-US"/>
        </w:rPr>
        <w:t>respond</w:t>
      </w:r>
      <w:r w:rsidR="00A02D6E" w:rsidRPr="00D56AF5">
        <w:rPr>
          <w:rFonts w:ascii="Garamond" w:hAnsi="Garamond"/>
          <w:sz w:val="24"/>
          <w:szCs w:val="24"/>
          <w:lang w:val="en-US"/>
        </w:rPr>
        <w:t xml:space="preserve"> </w:t>
      </w:r>
      <w:r w:rsidR="00163A43" w:rsidRPr="00D56AF5">
        <w:rPr>
          <w:rFonts w:ascii="Garamond" w:hAnsi="Garamond"/>
          <w:sz w:val="24"/>
          <w:szCs w:val="24"/>
          <w:lang w:val="en-US"/>
        </w:rPr>
        <w:t>to our principal concerns</w:t>
      </w:r>
      <w:r w:rsidR="004A3ED8" w:rsidRPr="00D56AF5">
        <w:rPr>
          <w:rFonts w:ascii="Garamond" w:hAnsi="Garamond"/>
          <w:sz w:val="24"/>
          <w:szCs w:val="24"/>
          <w:lang w:val="en-US"/>
        </w:rPr>
        <w:t xml:space="preserve"> -</w:t>
      </w:r>
      <w:r w:rsidR="00B729E4" w:rsidRPr="00D56AF5">
        <w:rPr>
          <w:rFonts w:ascii="Garamond" w:hAnsi="Garamond"/>
          <w:sz w:val="24"/>
          <w:szCs w:val="24"/>
          <w:lang w:val="en-US"/>
        </w:rPr>
        <w:t xml:space="preserve"> </w:t>
      </w:r>
      <w:r w:rsidR="00735993" w:rsidRPr="00D56AF5">
        <w:rPr>
          <w:rFonts w:ascii="Garamond" w:hAnsi="Garamond"/>
          <w:sz w:val="24"/>
          <w:szCs w:val="24"/>
          <w:lang w:val="en-US"/>
        </w:rPr>
        <w:t xml:space="preserve">why should a state submit to the authority of international law when it has rendered its consent to a rule? What </w:t>
      </w:r>
      <w:r w:rsidR="0069158F" w:rsidRPr="00D56AF5">
        <w:rPr>
          <w:rFonts w:ascii="Garamond" w:hAnsi="Garamond"/>
          <w:sz w:val="24"/>
          <w:szCs w:val="24"/>
          <w:lang w:val="en-US"/>
        </w:rPr>
        <w:t xml:space="preserve">impact does a standing authorization have on the </w:t>
      </w:r>
      <w:r w:rsidR="00EF26A9" w:rsidRPr="00D56AF5">
        <w:rPr>
          <w:rFonts w:ascii="Garamond" w:hAnsi="Garamond"/>
          <w:sz w:val="24"/>
          <w:szCs w:val="24"/>
          <w:lang w:val="en-US"/>
        </w:rPr>
        <w:t xml:space="preserve">sovereignty </w:t>
      </w:r>
      <w:r w:rsidR="0069158F" w:rsidRPr="00D56AF5">
        <w:rPr>
          <w:rFonts w:ascii="Garamond" w:hAnsi="Garamond"/>
          <w:sz w:val="24"/>
          <w:szCs w:val="24"/>
          <w:lang w:val="en-US"/>
        </w:rPr>
        <w:t>of the consenting stat</w:t>
      </w:r>
      <w:r w:rsidR="00D90579" w:rsidRPr="00D56AF5">
        <w:rPr>
          <w:rFonts w:ascii="Garamond" w:hAnsi="Garamond"/>
          <w:sz w:val="24"/>
          <w:szCs w:val="24"/>
          <w:lang w:val="en-US"/>
        </w:rPr>
        <w:t xml:space="preserve">e? </w:t>
      </w:r>
      <w:r w:rsidR="00815C47" w:rsidRPr="00D56AF5">
        <w:rPr>
          <w:rFonts w:ascii="Garamond" w:hAnsi="Garamond"/>
          <w:sz w:val="24"/>
          <w:szCs w:val="24"/>
          <w:lang w:val="en-US"/>
        </w:rPr>
        <w:t>Is there a morally significan</w:t>
      </w:r>
      <w:r w:rsidR="00C16767" w:rsidRPr="00D56AF5">
        <w:rPr>
          <w:rFonts w:ascii="Garamond" w:hAnsi="Garamond"/>
          <w:sz w:val="24"/>
          <w:szCs w:val="24"/>
          <w:lang w:val="en-US"/>
        </w:rPr>
        <w:t>t difference</w:t>
      </w:r>
      <w:r w:rsidR="00815C47" w:rsidRPr="00D56AF5">
        <w:rPr>
          <w:rFonts w:ascii="Garamond" w:hAnsi="Garamond"/>
          <w:sz w:val="24"/>
          <w:szCs w:val="24"/>
          <w:lang w:val="en-US"/>
        </w:rPr>
        <w:t xml:space="preserve"> between an agreement to restore a head of state against popular will</w:t>
      </w:r>
      <w:r w:rsidR="00043938" w:rsidRPr="00D56AF5">
        <w:rPr>
          <w:rFonts w:ascii="Garamond" w:hAnsi="Garamond"/>
          <w:sz w:val="24"/>
          <w:szCs w:val="24"/>
          <w:lang w:val="en-US"/>
        </w:rPr>
        <w:t xml:space="preserve"> merely because they had democratic origins</w:t>
      </w:r>
      <w:r w:rsidR="00815C47" w:rsidRPr="00D56AF5">
        <w:rPr>
          <w:rFonts w:ascii="Garamond" w:hAnsi="Garamond"/>
          <w:sz w:val="24"/>
          <w:szCs w:val="24"/>
          <w:lang w:val="en-US"/>
        </w:rPr>
        <w:t xml:space="preserve">, and an agreement to </w:t>
      </w:r>
      <w:r w:rsidR="000F177F" w:rsidRPr="00D56AF5">
        <w:rPr>
          <w:rFonts w:ascii="Garamond" w:hAnsi="Garamond"/>
          <w:sz w:val="24"/>
          <w:szCs w:val="24"/>
          <w:lang w:val="en-US"/>
        </w:rPr>
        <w:t xml:space="preserve">allow for third state intervention if the </w:t>
      </w:r>
      <w:r w:rsidR="009154AA" w:rsidRPr="00D56AF5">
        <w:rPr>
          <w:rFonts w:ascii="Garamond" w:hAnsi="Garamond"/>
          <w:sz w:val="24"/>
          <w:szCs w:val="24"/>
          <w:lang w:val="en-US"/>
        </w:rPr>
        <w:t xml:space="preserve">government egregiously violates the basic </w:t>
      </w:r>
      <w:r w:rsidR="00815C47" w:rsidRPr="00D56AF5">
        <w:rPr>
          <w:rFonts w:ascii="Garamond" w:hAnsi="Garamond"/>
          <w:sz w:val="24"/>
          <w:szCs w:val="24"/>
          <w:lang w:val="en-US"/>
        </w:rPr>
        <w:t>human rights of</w:t>
      </w:r>
      <w:r w:rsidR="00BD1560" w:rsidRPr="00D56AF5">
        <w:rPr>
          <w:rFonts w:ascii="Garamond" w:hAnsi="Garamond"/>
          <w:sz w:val="24"/>
          <w:szCs w:val="24"/>
          <w:lang w:val="en-US"/>
        </w:rPr>
        <w:t xml:space="preserve"> its</w:t>
      </w:r>
      <w:r w:rsidR="00815C47" w:rsidRPr="00D56AF5">
        <w:rPr>
          <w:rFonts w:ascii="Garamond" w:hAnsi="Garamond"/>
          <w:sz w:val="24"/>
          <w:szCs w:val="24"/>
          <w:lang w:val="en-US"/>
        </w:rPr>
        <w:t xml:space="preserve"> people</w:t>
      </w:r>
      <w:r w:rsidR="00BB64A9" w:rsidRPr="00D56AF5">
        <w:rPr>
          <w:rFonts w:ascii="Garamond" w:hAnsi="Garamond"/>
          <w:sz w:val="24"/>
          <w:szCs w:val="24"/>
          <w:lang w:val="en-US"/>
        </w:rPr>
        <w:t>?</w:t>
      </w:r>
      <w:r w:rsidR="00A67E66" w:rsidRPr="00D56AF5">
        <w:rPr>
          <w:rFonts w:ascii="Garamond" w:hAnsi="Garamond"/>
          <w:sz w:val="24"/>
          <w:szCs w:val="24"/>
          <w:lang w:val="en-US"/>
        </w:rPr>
        <w:t xml:space="preserve"> </w:t>
      </w:r>
      <w:r w:rsidR="00087BCF">
        <w:rPr>
          <w:rFonts w:ascii="Garamond" w:hAnsi="Garamond"/>
          <w:sz w:val="24"/>
          <w:szCs w:val="24"/>
          <w:lang w:val="en-US"/>
        </w:rPr>
        <w:t>C</w:t>
      </w:r>
      <w:r w:rsidR="003B4AA4" w:rsidRPr="00D56AF5">
        <w:rPr>
          <w:rFonts w:ascii="Garamond" w:hAnsi="Garamond"/>
          <w:sz w:val="24"/>
          <w:szCs w:val="24"/>
          <w:lang w:val="en-US"/>
        </w:rPr>
        <w:t>onsequently</w:t>
      </w:r>
      <w:r w:rsidR="00216B41" w:rsidRPr="00D56AF5">
        <w:rPr>
          <w:rFonts w:ascii="Garamond" w:hAnsi="Garamond"/>
          <w:sz w:val="24"/>
          <w:szCs w:val="24"/>
          <w:lang w:val="en-US"/>
        </w:rPr>
        <w:t>,</w:t>
      </w:r>
      <w:r w:rsidR="00A67E66" w:rsidRPr="00D56AF5">
        <w:rPr>
          <w:rFonts w:ascii="Garamond" w:hAnsi="Garamond"/>
          <w:sz w:val="24"/>
          <w:szCs w:val="24"/>
          <w:lang w:val="en-US"/>
        </w:rPr>
        <w:t xml:space="preserve"> </w:t>
      </w:r>
      <w:r w:rsidR="000E2E67">
        <w:rPr>
          <w:rFonts w:ascii="Garamond" w:hAnsi="Garamond"/>
          <w:sz w:val="24"/>
          <w:szCs w:val="24"/>
          <w:lang w:val="en-US"/>
        </w:rPr>
        <w:t>should we treat such agreements differently</w:t>
      </w:r>
      <w:r w:rsidR="00815C47" w:rsidRPr="00D56AF5">
        <w:rPr>
          <w:rFonts w:ascii="Garamond" w:hAnsi="Garamond"/>
          <w:sz w:val="24"/>
          <w:szCs w:val="24"/>
          <w:lang w:val="en-US"/>
        </w:rPr>
        <w:t>?</w:t>
      </w:r>
      <w:r w:rsidR="00596BBE" w:rsidRPr="00D56AF5">
        <w:rPr>
          <w:rFonts w:ascii="Garamond" w:hAnsi="Garamond"/>
          <w:sz w:val="24"/>
          <w:szCs w:val="24"/>
          <w:lang w:val="en-US"/>
        </w:rPr>
        <w:t xml:space="preserve"> </w:t>
      </w:r>
    </w:p>
    <w:p w14:paraId="30E8076B" w14:textId="3E3FCA81" w:rsidR="004A3ED8" w:rsidRDefault="009B213C" w:rsidP="001340AF">
      <w:pPr>
        <w:spacing w:after="120" w:line="480" w:lineRule="auto"/>
        <w:jc w:val="both"/>
        <w:rPr>
          <w:rFonts w:ascii="Garamond" w:hAnsi="Garamond"/>
          <w:sz w:val="24"/>
          <w:szCs w:val="24"/>
          <w:lang w:val="en-US"/>
        </w:rPr>
      </w:pPr>
      <w:r w:rsidRPr="00D56AF5">
        <w:rPr>
          <w:rFonts w:ascii="Garamond" w:hAnsi="Garamond"/>
          <w:sz w:val="24"/>
          <w:szCs w:val="24"/>
          <w:lang w:val="en-US"/>
        </w:rPr>
        <w:t>To answer these questions, we need a theory that provides a normative explanation for the authority of international law.</w:t>
      </w:r>
      <w:r w:rsidR="00562005" w:rsidRPr="00D56AF5">
        <w:rPr>
          <w:rFonts w:ascii="Garamond" w:hAnsi="Garamond"/>
          <w:sz w:val="24"/>
          <w:szCs w:val="24"/>
          <w:lang w:val="en-US"/>
        </w:rPr>
        <w:t xml:space="preserve"> </w:t>
      </w:r>
      <w:r w:rsidR="0089318A" w:rsidRPr="00D56AF5">
        <w:rPr>
          <w:rFonts w:ascii="Garamond" w:hAnsi="Garamond"/>
          <w:sz w:val="24"/>
          <w:szCs w:val="24"/>
          <w:lang w:val="en-US"/>
        </w:rPr>
        <w:t xml:space="preserve">My next sub-section </w:t>
      </w:r>
      <w:r w:rsidR="0058482C">
        <w:rPr>
          <w:rFonts w:ascii="Garamond" w:hAnsi="Garamond"/>
          <w:sz w:val="24"/>
          <w:szCs w:val="24"/>
          <w:lang w:val="en-US"/>
        </w:rPr>
        <w:t>focuses on</w:t>
      </w:r>
      <w:r w:rsidR="002E42E1">
        <w:rPr>
          <w:rFonts w:ascii="Garamond" w:hAnsi="Garamond"/>
          <w:sz w:val="24"/>
          <w:szCs w:val="24"/>
          <w:lang w:val="en-US"/>
        </w:rPr>
        <w:t xml:space="preserve"> such</w:t>
      </w:r>
      <w:r w:rsidR="0089318A" w:rsidRPr="00D56AF5">
        <w:rPr>
          <w:rFonts w:ascii="Garamond" w:hAnsi="Garamond"/>
          <w:sz w:val="24"/>
          <w:szCs w:val="24"/>
          <w:lang w:val="en-US"/>
        </w:rPr>
        <w:t xml:space="preserve"> an account</w:t>
      </w:r>
      <w:r w:rsidR="00985EE9" w:rsidRPr="00D56AF5">
        <w:rPr>
          <w:rFonts w:ascii="Garamond" w:hAnsi="Garamond"/>
          <w:sz w:val="24"/>
          <w:szCs w:val="24"/>
          <w:lang w:val="en-US"/>
        </w:rPr>
        <w:t>.</w:t>
      </w:r>
    </w:p>
    <w:p w14:paraId="0BB13FD1" w14:textId="77777777" w:rsidR="006528C1" w:rsidRPr="00D56AF5" w:rsidRDefault="006528C1" w:rsidP="001340AF">
      <w:pPr>
        <w:spacing w:after="120" w:line="480" w:lineRule="auto"/>
        <w:jc w:val="both"/>
        <w:rPr>
          <w:rFonts w:ascii="Garamond" w:hAnsi="Garamond"/>
          <w:sz w:val="24"/>
          <w:szCs w:val="24"/>
          <w:lang w:val="en-US"/>
        </w:rPr>
      </w:pPr>
    </w:p>
    <w:p w14:paraId="05BA9986" w14:textId="6627CD2F" w:rsidR="007D62C1" w:rsidRPr="00D56AF5" w:rsidRDefault="008E2A68" w:rsidP="001340AF">
      <w:pPr>
        <w:pStyle w:val="Heading2"/>
        <w:numPr>
          <w:ilvl w:val="1"/>
          <w:numId w:val="35"/>
        </w:numPr>
        <w:spacing w:line="480" w:lineRule="auto"/>
        <w:rPr>
          <w:szCs w:val="24"/>
          <w:lang w:val="en-US"/>
        </w:rPr>
      </w:pPr>
      <w:bookmarkStart w:id="13" w:name="_Toc169217165"/>
      <w:bookmarkStart w:id="14" w:name="_Toc191740729"/>
      <w:r w:rsidRPr="00D56AF5">
        <w:rPr>
          <w:szCs w:val="24"/>
          <w:lang w:val="en-US"/>
        </w:rPr>
        <w:t xml:space="preserve">An alternative to </w:t>
      </w:r>
      <w:r w:rsidR="00D83D89" w:rsidRPr="00D56AF5">
        <w:rPr>
          <w:szCs w:val="24"/>
          <w:lang w:val="en-US"/>
        </w:rPr>
        <w:t xml:space="preserve">the theory of </w:t>
      </w:r>
      <w:r w:rsidRPr="00D56AF5">
        <w:rPr>
          <w:szCs w:val="24"/>
          <w:lang w:val="en-US"/>
        </w:rPr>
        <w:t xml:space="preserve">consent </w:t>
      </w:r>
      <w:r w:rsidR="007F7112" w:rsidRPr="00D56AF5">
        <w:rPr>
          <w:szCs w:val="24"/>
          <w:lang w:val="en-US"/>
        </w:rPr>
        <w:t xml:space="preserve">and the mechanics of </w:t>
      </w:r>
      <w:r w:rsidR="003A27F4" w:rsidRPr="00D56AF5">
        <w:rPr>
          <w:szCs w:val="24"/>
          <w:lang w:val="en-US"/>
        </w:rPr>
        <w:t xml:space="preserve">the </w:t>
      </w:r>
      <w:r w:rsidR="007F7112" w:rsidRPr="00D56AF5">
        <w:rPr>
          <w:szCs w:val="24"/>
          <w:lang w:val="en-US"/>
        </w:rPr>
        <w:t>erosion</w:t>
      </w:r>
      <w:r w:rsidR="003A27F4" w:rsidRPr="00D56AF5">
        <w:rPr>
          <w:szCs w:val="24"/>
          <w:lang w:val="en-US"/>
        </w:rPr>
        <w:t xml:space="preserve"> of sovereignty</w:t>
      </w:r>
      <w:bookmarkEnd w:id="13"/>
      <w:bookmarkEnd w:id="14"/>
    </w:p>
    <w:p w14:paraId="299A5386" w14:textId="77777777" w:rsidR="0058482C" w:rsidRDefault="00042131"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From the </w:t>
      </w:r>
      <w:r w:rsidR="00E9136D" w:rsidRPr="00D56AF5">
        <w:rPr>
          <w:rFonts w:ascii="Garamond" w:hAnsi="Garamond"/>
          <w:sz w:val="24"/>
          <w:szCs w:val="24"/>
          <w:lang w:val="en-US"/>
        </w:rPr>
        <w:t>preceding discussion</w:t>
      </w:r>
      <w:r w:rsidRPr="00D56AF5">
        <w:rPr>
          <w:rFonts w:ascii="Garamond" w:hAnsi="Garamond"/>
          <w:sz w:val="24"/>
          <w:szCs w:val="24"/>
          <w:lang w:val="en-US"/>
        </w:rPr>
        <w:t>, we can conclude that sovereignty</w:t>
      </w:r>
      <w:r w:rsidR="006A0FC9" w:rsidRPr="00D56AF5">
        <w:rPr>
          <w:rFonts w:ascii="Garamond" w:hAnsi="Garamond"/>
          <w:sz w:val="24"/>
          <w:szCs w:val="24"/>
          <w:lang w:val="en-US"/>
        </w:rPr>
        <w:t xml:space="preserve"> is</w:t>
      </w:r>
      <w:r w:rsidR="00511B9B" w:rsidRPr="00D56AF5">
        <w:rPr>
          <w:rFonts w:ascii="Garamond" w:hAnsi="Garamond"/>
          <w:sz w:val="24"/>
          <w:szCs w:val="24"/>
          <w:lang w:val="en-US"/>
        </w:rPr>
        <w:t xml:space="preserve"> </w:t>
      </w:r>
      <w:r w:rsidR="00A3421F" w:rsidRPr="00D56AF5">
        <w:rPr>
          <w:rFonts w:ascii="Garamond" w:hAnsi="Garamond"/>
          <w:sz w:val="24"/>
          <w:szCs w:val="24"/>
          <w:lang w:val="en-US"/>
        </w:rPr>
        <w:t>a</w:t>
      </w:r>
      <w:r w:rsidR="00511B9B" w:rsidRPr="00D56AF5">
        <w:rPr>
          <w:rFonts w:ascii="Garamond" w:hAnsi="Garamond"/>
          <w:sz w:val="24"/>
          <w:szCs w:val="24"/>
          <w:lang w:val="en-US"/>
        </w:rPr>
        <w:t xml:space="preserve"> right of</w:t>
      </w:r>
      <w:r w:rsidR="006A0FC9" w:rsidRPr="00D56AF5">
        <w:rPr>
          <w:rFonts w:ascii="Garamond" w:hAnsi="Garamond"/>
          <w:sz w:val="24"/>
          <w:szCs w:val="24"/>
          <w:lang w:val="en-US"/>
        </w:rPr>
        <w:t xml:space="preserve"> independence</w:t>
      </w:r>
      <w:r w:rsidR="00855D1C" w:rsidRPr="00D56AF5">
        <w:rPr>
          <w:rFonts w:ascii="Garamond" w:hAnsi="Garamond"/>
          <w:sz w:val="24"/>
          <w:szCs w:val="24"/>
          <w:lang w:val="en-US"/>
        </w:rPr>
        <w:t xml:space="preserve"> from external interference</w:t>
      </w:r>
      <w:r w:rsidR="006A0FC9" w:rsidRPr="00D56AF5">
        <w:rPr>
          <w:rFonts w:ascii="Garamond" w:hAnsi="Garamond"/>
          <w:sz w:val="24"/>
          <w:szCs w:val="24"/>
          <w:lang w:val="en-US"/>
        </w:rPr>
        <w:t>,</w:t>
      </w:r>
      <w:r w:rsidR="0058482C">
        <w:rPr>
          <w:rFonts w:ascii="Garamond" w:hAnsi="Garamond"/>
          <w:sz w:val="24"/>
          <w:szCs w:val="24"/>
          <w:lang w:val="en-US"/>
        </w:rPr>
        <w:t xml:space="preserve"> dependent on mutual recognition, and valued</w:t>
      </w:r>
      <w:r w:rsidR="006A0FC9" w:rsidRPr="00D56AF5">
        <w:rPr>
          <w:rFonts w:ascii="Garamond" w:hAnsi="Garamond"/>
          <w:sz w:val="24"/>
          <w:szCs w:val="24"/>
          <w:lang w:val="en-US"/>
        </w:rPr>
        <w:t xml:space="preserve"> </w:t>
      </w:r>
      <w:r w:rsidR="003578D2" w:rsidRPr="00D56AF5">
        <w:rPr>
          <w:rFonts w:ascii="Garamond" w:hAnsi="Garamond"/>
          <w:sz w:val="24"/>
          <w:szCs w:val="24"/>
          <w:lang w:val="en-US"/>
        </w:rPr>
        <w:t xml:space="preserve">to the extent it </w:t>
      </w:r>
      <w:r w:rsidR="00C23DC0" w:rsidRPr="00D56AF5">
        <w:rPr>
          <w:rFonts w:ascii="Garamond" w:hAnsi="Garamond"/>
          <w:sz w:val="24"/>
          <w:szCs w:val="24"/>
          <w:lang w:val="en-US"/>
        </w:rPr>
        <w:t>helps</w:t>
      </w:r>
      <w:r w:rsidR="003578D2" w:rsidRPr="00D56AF5">
        <w:rPr>
          <w:rFonts w:ascii="Garamond" w:hAnsi="Garamond"/>
          <w:sz w:val="24"/>
          <w:szCs w:val="24"/>
          <w:lang w:val="en-US"/>
        </w:rPr>
        <w:t xml:space="preserve"> the state </w:t>
      </w:r>
      <w:r w:rsidR="00C23DC0" w:rsidRPr="00D56AF5">
        <w:rPr>
          <w:rFonts w:ascii="Garamond" w:hAnsi="Garamond"/>
          <w:sz w:val="24"/>
          <w:szCs w:val="24"/>
          <w:lang w:val="en-US"/>
        </w:rPr>
        <w:t xml:space="preserve">promote </w:t>
      </w:r>
      <w:r w:rsidR="001837C9" w:rsidRPr="00D56AF5">
        <w:rPr>
          <w:rFonts w:ascii="Garamond" w:hAnsi="Garamond"/>
          <w:sz w:val="24"/>
          <w:szCs w:val="24"/>
          <w:lang w:val="en-US"/>
        </w:rPr>
        <w:t xml:space="preserve">the </w:t>
      </w:r>
      <w:r w:rsidR="00C23DC0" w:rsidRPr="00D56AF5">
        <w:rPr>
          <w:rFonts w:ascii="Garamond" w:hAnsi="Garamond"/>
          <w:sz w:val="24"/>
          <w:szCs w:val="24"/>
          <w:lang w:val="en-US"/>
        </w:rPr>
        <w:t xml:space="preserve">good </w:t>
      </w:r>
      <w:r w:rsidR="001837C9" w:rsidRPr="00D56AF5">
        <w:rPr>
          <w:rFonts w:ascii="Garamond" w:hAnsi="Garamond"/>
          <w:sz w:val="24"/>
          <w:szCs w:val="24"/>
          <w:lang w:val="en-US"/>
        </w:rPr>
        <w:t xml:space="preserve">of </w:t>
      </w:r>
      <w:r w:rsidR="0053660D" w:rsidRPr="00D56AF5">
        <w:rPr>
          <w:rFonts w:ascii="Garamond" w:hAnsi="Garamond"/>
          <w:sz w:val="24"/>
          <w:szCs w:val="24"/>
          <w:lang w:val="en-US"/>
        </w:rPr>
        <w:t xml:space="preserve">the people </w:t>
      </w:r>
      <w:r w:rsidR="00F6057D" w:rsidRPr="00D56AF5">
        <w:rPr>
          <w:rFonts w:ascii="Garamond" w:hAnsi="Garamond"/>
          <w:sz w:val="24"/>
          <w:szCs w:val="24"/>
          <w:lang w:val="en-US"/>
        </w:rPr>
        <w:t>under</w:t>
      </w:r>
      <w:r w:rsidR="0053660D" w:rsidRPr="00D56AF5">
        <w:rPr>
          <w:rFonts w:ascii="Garamond" w:hAnsi="Garamond"/>
          <w:sz w:val="24"/>
          <w:szCs w:val="24"/>
          <w:lang w:val="en-US"/>
        </w:rPr>
        <w:t xml:space="preserve"> its care</w:t>
      </w:r>
      <w:r w:rsidR="003578D2" w:rsidRPr="00D56AF5">
        <w:rPr>
          <w:rFonts w:ascii="Garamond" w:hAnsi="Garamond"/>
          <w:sz w:val="24"/>
          <w:szCs w:val="24"/>
          <w:lang w:val="en-US"/>
        </w:rPr>
        <w:t>.</w:t>
      </w:r>
      <w:r w:rsidR="00CF3714" w:rsidRPr="00D56AF5">
        <w:rPr>
          <w:rFonts w:ascii="Garamond" w:hAnsi="Garamond"/>
          <w:sz w:val="24"/>
          <w:szCs w:val="24"/>
          <w:lang w:val="en-US"/>
        </w:rPr>
        <w:t xml:space="preserve"> </w:t>
      </w:r>
      <w:r w:rsidR="0053660D" w:rsidRPr="00D56AF5">
        <w:rPr>
          <w:rFonts w:ascii="Garamond" w:hAnsi="Garamond"/>
          <w:sz w:val="24"/>
          <w:szCs w:val="24"/>
          <w:lang w:val="en-US"/>
        </w:rPr>
        <w:t xml:space="preserve">Since sovereignty </w:t>
      </w:r>
      <w:r w:rsidR="00D71773" w:rsidRPr="00D56AF5">
        <w:rPr>
          <w:rFonts w:ascii="Garamond" w:hAnsi="Garamond"/>
          <w:sz w:val="24"/>
          <w:szCs w:val="24"/>
          <w:lang w:val="en-US"/>
        </w:rPr>
        <w:t xml:space="preserve">has </w:t>
      </w:r>
      <w:r w:rsidR="0058482C">
        <w:rPr>
          <w:rFonts w:ascii="Garamond" w:hAnsi="Garamond"/>
          <w:sz w:val="24"/>
          <w:szCs w:val="24"/>
          <w:lang w:val="en-US"/>
        </w:rPr>
        <w:t xml:space="preserve">such </w:t>
      </w:r>
      <w:r w:rsidR="00D71773" w:rsidRPr="00D56AF5">
        <w:rPr>
          <w:rFonts w:ascii="Garamond" w:hAnsi="Garamond"/>
          <w:sz w:val="24"/>
          <w:szCs w:val="24"/>
          <w:lang w:val="en-US"/>
        </w:rPr>
        <w:t xml:space="preserve">instrumental value, it is compatible with </w:t>
      </w:r>
      <w:r w:rsidRPr="00D56AF5">
        <w:rPr>
          <w:rFonts w:ascii="Garamond" w:hAnsi="Garamond"/>
          <w:sz w:val="24"/>
          <w:szCs w:val="24"/>
          <w:lang w:val="en-US"/>
        </w:rPr>
        <w:t>legal and moral limits</w:t>
      </w:r>
      <w:r w:rsidR="00D71773" w:rsidRPr="00D56AF5">
        <w:rPr>
          <w:rFonts w:ascii="Garamond" w:hAnsi="Garamond"/>
          <w:sz w:val="24"/>
          <w:szCs w:val="24"/>
          <w:lang w:val="en-US"/>
        </w:rPr>
        <w:t xml:space="preserve"> to its amplitude</w:t>
      </w:r>
      <w:r w:rsidR="00F6057D" w:rsidRPr="00D56AF5">
        <w:rPr>
          <w:rFonts w:ascii="Garamond" w:hAnsi="Garamond"/>
          <w:sz w:val="24"/>
          <w:szCs w:val="24"/>
          <w:lang w:val="en-US"/>
        </w:rPr>
        <w:t>.</w:t>
      </w:r>
      <w:r w:rsidRPr="00D56AF5">
        <w:rPr>
          <w:rStyle w:val="FootnoteReference"/>
          <w:rFonts w:ascii="Garamond" w:hAnsi="Garamond"/>
          <w:sz w:val="24"/>
          <w:szCs w:val="24"/>
          <w:lang w:val="en-US"/>
        </w:rPr>
        <w:footnoteReference w:id="84"/>
      </w:r>
      <w:r w:rsidR="00B47B0E" w:rsidRPr="00D56AF5">
        <w:rPr>
          <w:rFonts w:ascii="Garamond" w:hAnsi="Garamond"/>
          <w:sz w:val="24"/>
          <w:szCs w:val="24"/>
          <w:lang w:val="en-US"/>
        </w:rPr>
        <w:t xml:space="preserve"> </w:t>
      </w:r>
    </w:p>
    <w:p w14:paraId="1FE75CD5" w14:textId="7F32E929" w:rsidR="00944F2F" w:rsidRPr="0058482C" w:rsidRDefault="00390F6E" w:rsidP="001340AF">
      <w:pPr>
        <w:spacing w:after="120" w:line="480" w:lineRule="auto"/>
        <w:jc w:val="both"/>
        <w:rPr>
          <w:rFonts w:ascii="Garamond" w:hAnsi="Garamond"/>
          <w:sz w:val="24"/>
          <w:szCs w:val="24"/>
          <w:u w:val="double"/>
          <w:lang w:val="en-US"/>
        </w:rPr>
      </w:pPr>
      <w:r w:rsidRPr="00D56AF5">
        <w:rPr>
          <w:rFonts w:ascii="Garamond" w:hAnsi="Garamond"/>
          <w:sz w:val="24"/>
          <w:szCs w:val="24"/>
          <w:lang w:val="en-US"/>
        </w:rPr>
        <w:t xml:space="preserve">The limits </w:t>
      </w:r>
      <w:r w:rsidR="00102D80" w:rsidRPr="00D56AF5">
        <w:rPr>
          <w:rFonts w:ascii="Garamond" w:hAnsi="Garamond"/>
          <w:sz w:val="24"/>
          <w:szCs w:val="24"/>
          <w:lang w:val="en-US"/>
        </w:rPr>
        <w:t xml:space="preserve">to </w:t>
      </w:r>
      <w:r w:rsidRPr="00D56AF5">
        <w:rPr>
          <w:rFonts w:ascii="Garamond" w:hAnsi="Garamond"/>
          <w:sz w:val="24"/>
          <w:szCs w:val="24"/>
          <w:lang w:val="en-US"/>
        </w:rPr>
        <w:t xml:space="preserve">the value of sovereignty </w:t>
      </w:r>
      <w:r w:rsidR="00352F32" w:rsidRPr="00D56AF5">
        <w:rPr>
          <w:rFonts w:ascii="Garamond" w:hAnsi="Garamond"/>
          <w:sz w:val="24"/>
          <w:szCs w:val="24"/>
          <w:lang w:val="en-US"/>
        </w:rPr>
        <w:t>represent</w:t>
      </w:r>
      <w:r w:rsidR="00584CCD" w:rsidRPr="00D56AF5">
        <w:rPr>
          <w:rFonts w:ascii="Garamond" w:hAnsi="Garamond"/>
          <w:sz w:val="24"/>
          <w:szCs w:val="24"/>
          <w:lang w:val="en-US"/>
        </w:rPr>
        <w:t xml:space="preserve"> </w:t>
      </w:r>
      <w:r w:rsidR="004A1AF8" w:rsidRPr="00D56AF5">
        <w:rPr>
          <w:rFonts w:ascii="Garamond" w:hAnsi="Garamond"/>
          <w:sz w:val="24"/>
          <w:szCs w:val="24"/>
          <w:lang w:val="en-US"/>
        </w:rPr>
        <w:t xml:space="preserve">normative </w:t>
      </w:r>
      <w:r w:rsidR="00584CCD" w:rsidRPr="00D56AF5">
        <w:rPr>
          <w:rFonts w:ascii="Garamond" w:hAnsi="Garamond"/>
          <w:sz w:val="24"/>
          <w:szCs w:val="24"/>
          <w:lang w:val="en-US"/>
        </w:rPr>
        <w:t xml:space="preserve">limits to </w:t>
      </w:r>
      <w:r w:rsidR="002A5131" w:rsidRPr="00D56AF5">
        <w:rPr>
          <w:rFonts w:ascii="Garamond" w:hAnsi="Garamond"/>
          <w:sz w:val="24"/>
          <w:szCs w:val="24"/>
          <w:lang w:val="en-US"/>
        </w:rPr>
        <w:t>the concept</w:t>
      </w:r>
      <w:r w:rsidR="00571CE1" w:rsidRPr="00D56AF5">
        <w:rPr>
          <w:rFonts w:ascii="Garamond" w:hAnsi="Garamond"/>
          <w:sz w:val="24"/>
          <w:szCs w:val="24"/>
          <w:lang w:val="en-US"/>
        </w:rPr>
        <w:t>, and would</w:t>
      </w:r>
      <w:r w:rsidR="00977FF6" w:rsidRPr="00D56AF5">
        <w:rPr>
          <w:rFonts w:ascii="Garamond" w:hAnsi="Garamond"/>
          <w:sz w:val="24"/>
          <w:szCs w:val="24"/>
          <w:lang w:val="en-US"/>
        </w:rPr>
        <w:t xml:space="preserve"> help determine what</w:t>
      </w:r>
      <w:r w:rsidR="00FB6951" w:rsidRPr="00D56AF5">
        <w:rPr>
          <w:rFonts w:ascii="Garamond" w:hAnsi="Garamond"/>
          <w:sz w:val="24"/>
          <w:szCs w:val="24"/>
          <w:lang w:val="en-US"/>
        </w:rPr>
        <w:t>,</w:t>
      </w:r>
      <w:r w:rsidR="00977FF6" w:rsidRPr="00D56AF5">
        <w:rPr>
          <w:rFonts w:ascii="Garamond" w:hAnsi="Garamond"/>
          <w:sz w:val="24"/>
          <w:szCs w:val="24"/>
          <w:lang w:val="en-US"/>
        </w:rPr>
        <w:t xml:space="preserve"> </w:t>
      </w:r>
      <w:r w:rsidR="00EF50E3" w:rsidRPr="00D56AF5">
        <w:rPr>
          <w:rFonts w:ascii="Garamond" w:hAnsi="Garamond"/>
          <w:sz w:val="24"/>
          <w:szCs w:val="24"/>
          <w:lang w:val="en-US"/>
        </w:rPr>
        <w:t>when</w:t>
      </w:r>
      <w:r w:rsidR="00FB6951" w:rsidRPr="00D56AF5">
        <w:rPr>
          <w:rFonts w:ascii="Garamond" w:hAnsi="Garamond"/>
          <w:sz w:val="24"/>
          <w:szCs w:val="24"/>
          <w:lang w:val="en-US"/>
        </w:rPr>
        <w:t>,</w:t>
      </w:r>
      <w:r w:rsidR="00EF50E3" w:rsidRPr="00D56AF5">
        <w:rPr>
          <w:rFonts w:ascii="Garamond" w:hAnsi="Garamond"/>
          <w:sz w:val="24"/>
          <w:szCs w:val="24"/>
          <w:lang w:val="en-US"/>
        </w:rPr>
        <w:t xml:space="preserve"> or where sovereign powers </w:t>
      </w:r>
      <w:r w:rsidR="00EF50E3" w:rsidRPr="00D56AF5">
        <w:rPr>
          <w:rFonts w:ascii="Garamond" w:hAnsi="Garamond"/>
          <w:i/>
          <w:iCs/>
          <w:sz w:val="24"/>
          <w:szCs w:val="24"/>
          <w:lang w:val="en-US"/>
        </w:rPr>
        <w:t xml:space="preserve">ought </w:t>
      </w:r>
      <w:r w:rsidR="00EF50E3" w:rsidRPr="00D56AF5">
        <w:rPr>
          <w:rFonts w:ascii="Garamond" w:hAnsi="Garamond"/>
          <w:sz w:val="24"/>
          <w:szCs w:val="24"/>
          <w:lang w:val="en-US"/>
        </w:rPr>
        <w:t>to be exercised</w:t>
      </w:r>
      <w:r w:rsidR="00FB6951" w:rsidRPr="00D56AF5">
        <w:rPr>
          <w:rFonts w:ascii="Garamond" w:hAnsi="Garamond"/>
          <w:sz w:val="24"/>
          <w:szCs w:val="24"/>
          <w:lang w:val="en-US"/>
        </w:rPr>
        <w:t xml:space="preserve"> or curbed</w:t>
      </w:r>
      <w:r w:rsidR="00BB537A" w:rsidRPr="00D56AF5">
        <w:rPr>
          <w:rFonts w:ascii="Garamond" w:hAnsi="Garamond"/>
          <w:sz w:val="24"/>
          <w:szCs w:val="24"/>
          <w:lang w:val="en-US"/>
        </w:rPr>
        <w:t>.</w:t>
      </w:r>
      <w:r w:rsidR="004971E2" w:rsidRPr="00D56AF5">
        <w:rPr>
          <w:rFonts w:ascii="Garamond" w:hAnsi="Garamond"/>
          <w:sz w:val="24"/>
          <w:szCs w:val="24"/>
          <w:lang w:val="en-US"/>
        </w:rPr>
        <w:t xml:space="preserve"> </w:t>
      </w:r>
      <w:r w:rsidR="00FF3621" w:rsidRPr="00D56AF5">
        <w:rPr>
          <w:rFonts w:ascii="Garamond" w:hAnsi="Garamond"/>
          <w:sz w:val="24"/>
          <w:szCs w:val="24"/>
          <w:lang w:val="en-US"/>
        </w:rPr>
        <w:t xml:space="preserve">In this </w:t>
      </w:r>
      <w:r w:rsidR="00E4356F" w:rsidRPr="00D56AF5">
        <w:rPr>
          <w:rFonts w:ascii="Garamond" w:hAnsi="Garamond"/>
          <w:sz w:val="24"/>
          <w:szCs w:val="24"/>
          <w:lang w:val="en-US"/>
        </w:rPr>
        <w:t>regard</w:t>
      </w:r>
      <w:r w:rsidR="00FF3621" w:rsidRPr="00D56AF5">
        <w:rPr>
          <w:rFonts w:ascii="Garamond" w:hAnsi="Garamond"/>
          <w:sz w:val="24"/>
          <w:szCs w:val="24"/>
          <w:lang w:val="en-US"/>
        </w:rPr>
        <w:t xml:space="preserve">, </w:t>
      </w:r>
      <w:r w:rsidR="00141AE6" w:rsidRPr="00D56AF5">
        <w:rPr>
          <w:rFonts w:ascii="Garamond" w:hAnsi="Garamond"/>
          <w:sz w:val="24"/>
          <w:szCs w:val="24"/>
          <w:lang w:val="en-US"/>
        </w:rPr>
        <w:t>Endicott argues that</w:t>
      </w:r>
      <w:r w:rsidR="00E42DF1" w:rsidRPr="00D56AF5">
        <w:rPr>
          <w:rFonts w:ascii="Garamond" w:hAnsi="Garamond"/>
          <w:sz w:val="24"/>
          <w:szCs w:val="24"/>
          <w:lang w:val="en-US"/>
        </w:rPr>
        <w:t xml:space="preserve"> </w:t>
      </w:r>
      <w:r w:rsidR="0002509A" w:rsidRPr="00D56AF5">
        <w:rPr>
          <w:rFonts w:ascii="Garamond" w:hAnsi="Garamond"/>
          <w:sz w:val="24"/>
          <w:szCs w:val="24"/>
          <w:lang w:val="en-US"/>
        </w:rPr>
        <w:t xml:space="preserve">in </w:t>
      </w:r>
      <w:r w:rsidR="00E42DF1" w:rsidRPr="00D56AF5">
        <w:rPr>
          <w:rFonts w:ascii="Garamond" w:hAnsi="Garamond"/>
          <w:sz w:val="24"/>
          <w:szCs w:val="24"/>
          <w:lang w:val="en-US"/>
        </w:rPr>
        <w:t>the same w</w:t>
      </w:r>
      <w:r w:rsidR="00540079" w:rsidRPr="00D56AF5">
        <w:rPr>
          <w:rFonts w:ascii="Garamond" w:hAnsi="Garamond"/>
          <w:sz w:val="24"/>
          <w:szCs w:val="24"/>
          <w:lang w:val="en-US"/>
        </w:rPr>
        <w:t>ay</w:t>
      </w:r>
      <w:r w:rsidR="00E42DF1" w:rsidRPr="00D56AF5">
        <w:rPr>
          <w:rFonts w:ascii="Garamond" w:hAnsi="Garamond"/>
          <w:sz w:val="24"/>
          <w:szCs w:val="24"/>
          <w:lang w:val="en-US"/>
        </w:rPr>
        <w:t xml:space="preserve"> that the </w:t>
      </w:r>
      <w:r w:rsidR="00DD574B" w:rsidRPr="00D56AF5">
        <w:rPr>
          <w:rFonts w:ascii="Garamond" w:hAnsi="Garamond"/>
          <w:sz w:val="24"/>
          <w:szCs w:val="24"/>
          <w:lang w:val="en-US"/>
        </w:rPr>
        <w:t xml:space="preserve">freedom of a person is complete to the extent it enables leading a good life, the sovereign </w:t>
      </w:r>
      <w:r w:rsidR="003F5DFC" w:rsidRPr="00D56AF5">
        <w:rPr>
          <w:rFonts w:ascii="Garamond" w:hAnsi="Garamond"/>
          <w:sz w:val="24"/>
          <w:szCs w:val="24"/>
          <w:lang w:val="en-US"/>
        </w:rPr>
        <w:t>autonomy/independence</w:t>
      </w:r>
      <w:r w:rsidR="003F5DFC" w:rsidRPr="00D56AF5">
        <w:rPr>
          <w:rStyle w:val="FootnoteReference"/>
          <w:rFonts w:ascii="Garamond" w:hAnsi="Garamond"/>
          <w:sz w:val="24"/>
          <w:szCs w:val="24"/>
          <w:lang w:val="en-US"/>
        </w:rPr>
        <w:footnoteReference w:id="85"/>
      </w:r>
      <w:r w:rsidR="00DD574B" w:rsidRPr="00D56AF5">
        <w:rPr>
          <w:rFonts w:ascii="Garamond" w:hAnsi="Garamond"/>
          <w:sz w:val="24"/>
          <w:szCs w:val="24"/>
          <w:lang w:val="en-US"/>
        </w:rPr>
        <w:t xml:space="preserve"> of a state is complete to the </w:t>
      </w:r>
      <w:r w:rsidR="00DD574B" w:rsidRPr="00D56AF5">
        <w:rPr>
          <w:rFonts w:ascii="Garamond" w:hAnsi="Garamond"/>
          <w:sz w:val="24"/>
          <w:szCs w:val="24"/>
          <w:lang w:val="en-US"/>
        </w:rPr>
        <w:lastRenderedPageBreak/>
        <w:t>extent it helps the state be a good state.</w:t>
      </w:r>
      <w:r w:rsidR="00275898" w:rsidRPr="00D56AF5">
        <w:rPr>
          <w:rStyle w:val="FootnoteReference"/>
          <w:rFonts w:ascii="Garamond" w:hAnsi="Garamond"/>
          <w:sz w:val="24"/>
          <w:szCs w:val="24"/>
          <w:lang w:val="en-US"/>
        </w:rPr>
        <w:footnoteReference w:id="86"/>
      </w:r>
      <w:r w:rsidR="006D6DFC" w:rsidRPr="00D56AF5">
        <w:rPr>
          <w:rFonts w:ascii="Garamond" w:hAnsi="Garamond"/>
          <w:sz w:val="24"/>
          <w:szCs w:val="24"/>
          <w:lang w:val="en-US"/>
        </w:rPr>
        <w:t xml:space="preserve"> </w:t>
      </w:r>
      <w:r w:rsidR="00F71656" w:rsidRPr="00D56AF5">
        <w:rPr>
          <w:rFonts w:ascii="Garamond" w:hAnsi="Garamond"/>
          <w:sz w:val="24"/>
          <w:szCs w:val="24"/>
          <w:lang w:val="en-US"/>
        </w:rPr>
        <w:t xml:space="preserve">This would explain why </w:t>
      </w:r>
      <w:r w:rsidR="00944F2F" w:rsidRPr="00D56AF5">
        <w:rPr>
          <w:rFonts w:ascii="Garamond" w:hAnsi="Garamond"/>
          <w:sz w:val="24"/>
          <w:szCs w:val="24"/>
          <w:lang w:val="en-US"/>
        </w:rPr>
        <w:t>treaties which violate jus cogens norms</w:t>
      </w:r>
      <w:r w:rsidR="00A103BB">
        <w:rPr>
          <w:rFonts w:ascii="Garamond" w:hAnsi="Garamond"/>
          <w:sz w:val="24"/>
          <w:szCs w:val="24"/>
          <w:lang w:val="en-US"/>
        </w:rPr>
        <w:t>, like the prohibition of genocide</w:t>
      </w:r>
      <w:r w:rsidR="00944F2F" w:rsidRPr="00D56AF5">
        <w:rPr>
          <w:rFonts w:ascii="Garamond" w:hAnsi="Garamond"/>
          <w:sz w:val="24"/>
          <w:szCs w:val="24"/>
          <w:lang w:val="en-US"/>
        </w:rPr>
        <w:t>, are void ab initio</w:t>
      </w:r>
      <w:r w:rsidR="00DF3B6E" w:rsidRPr="00D56AF5">
        <w:rPr>
          <w:rFonts w:ascii="Garamond" w:hAnsi="Garamond"/>
          <w:sz w:val="24"/>
          <w:szCs w:val="24"/>
          <w:lang w:val="en-US"/>
        </w:rPr>
        <w:t xml:space="preserve"> – because states </w:t>
      </w:r>
      <w:r w:rsidR="0017522F" w:rsidRPr="00D56AF5">
        <w:rPr>
          <w:rFonts w:ascii="Garamond" w:hAnsi="Garamond"/>
          <w:sz w:val="24"/>
          <w:szCs w:val="24"/>
          <w:lang w:val="en-US"/>
        </w:rPr>
        <w:t xml:space="preserve">cannot use their autonomy </w:t>
      </w:r>
      <w:r w:rsidR="00413389" w:rsidRPr="00D56AF5">
        <w:rPr>
          <w:rFonts w:ascii="Garamond" w:hAnsi="Garamond"/>
          <w:sz w:val="24"/>
          <w:szCs w:val="24"/>
          <w:lang w:val="en-US"/>
        </w:rPr>
        <w:t>contrary to the</w:t>
      </w:r>
      <w:r w:rsidR="0017522F" w:rsidRPr="00D56AF5">
        <w:rPr>
          <w:rFonts w:ascii="Garamond" w:hAnsi="Garamond"/>
          <w:sz w:val="24"/>
          <w:szCs w:val="24"/>
          <w:lang w:val="en-US"/>
        </w:rPr>
        <w:t xml:space="preserve"> good of their communities</w:t>
      </w:r>
      <w:r w:rsidR="00944F2F" w:rsidRPr="00D56AF5">
        <w:rPr>
          <w:rFonts w:ascii="Garamond" w:hAnsi="Garamond"/>
          <w:sz w:val="24"/>
          <w:szCs w:val="24"/>
          <w:lang w:val="en-US"/>
        </w:rPr>
        <w:t>.</w:t>
      </w:r>
      <w:r w:rsidR="0058482C">
        <w:rPr>
          <w:rStyle w:val="FootnoteReference"/>
          <w:rFonts w:ascii="Garamond" w:hAnsi="Garamond"/>
          <w:sz w:val="24"/>
          <w:szCs w:val="24"/>
          <w:lang w:val="en-US"/>
        </w:rPr>
        <w:footnoteReference w:id="87"/>
      </w:r>
    </w:p>
    <w:p w14:paraId="025C8D62" w14:textId="6F3D1765" w:rsidR="00BF2F03" w:rsidRPr="00D56AF5" w:rsidRDefault="000D2349" w:rsidP="001340AF">
      <w:pPr>
        <w:spacing w:after="120" w:line="480" w:lineRule="auto"/>
        <w:jc w:val="both"/>
        <w:rPr>
          <w:rFonts w:ascii="Garamond" w:hAnsi="Garamond"/>
          <w:sz w:val="24"/>
          <w:szCs w:val="24"/>
          <w:lang w:val="en-US"/>
        </w:rPr>
      </w:pPr>
      <w:r>
        <w:rPr>
          <w:rFonts w:ascii="Garamond" w:hAnsi="Garamond"/>
          <w:sz w:val="24"/>
          <w:szCs w:val="24"/>
          <w:lang w:val="en-US"/>
        </w:rPr>
        <w:t>Endicott’s</w:t>
      </w:r>
      <w:r w:rsidR="007B5431" w:rsidRPr="00D56AF5">
        <w:rPr>
          <w:rFonts w:ascii="Garamond" w:hAnsi="Garamond"/>
          <w:sz w:val="24"/>
          <w:szCs w:val="24"/>
          <w:lang w:val="en-US"/>
        </w:rPr>
        <w:t xml:space="preserve"> </w:t>
      </w:r>
      <w:r w:rsidR="00BF2F03" w:rsidRPr="00D56AF5">
        <w:rPr>
          <w:rFonts w:ascii="Garamond" w:hAnsi="Garamond"/>
          <w:sz w:val="24"/>
          <w:szCs w:val="24"/>
          <w:lang w:val="en-US"/>
        </w:rPr>
        <w:t xml:space="preserve">analogy </w:t>
      </w:r>
      <w:r w:rsidR="007B5431" w:rsidRPr="00D56AF5">
        <w:rPr>
          <w:rFonts w:ascii="Garamond" w:hAnsi="Garamond"/>
          <w:sz w:val="24"/>
          <w:szCs w:val="24"/>
          <w:lang w:val="en-US"/>
        </w:rPr>
        <w:t>is of course imperfect. T</w:t>
      </w:r>
      <w:r w:rsidR="00B960B8" w:rsidRPr="00D56AF5">
        <w:rPr>
          <w:rFonts w:ascii="Garamond" w:hAnsi="Garamond"/>
          <w:sz w:val="24"/>
          <w:szCs w:val="24"/>
          <w:lang w:val="en-US"/>
        </w:rPr>
        <w:t xml:space="preserve">he autonomy of a person and a state </w:t>
      </w:r>
      <w:r w:rsidR="00706D35" w:rsidRPr="00D56AF5">
        <w:rPr>
          <w:rFonts w:ascii="Garamond" w:hAnsi="Garamond"/>
          <w:sz w:val="24"/>
          <w:szCs w:val="24"/>
          <w:lang w:val="en-US"/>
        </w:rPr>
        <w:t>can</w:t>
      </w:r>
      <w:r w:rsidR="00B960B8" w:rsidRPr="00D56AF5">
        <w:rPr>
          <w:rFonts w:ascii="Garamond" w:hAnsi="Garamond"/>
          <w:sz w:val="24"/>
          <w:szCs w:val="24"/>
          <w:lang w:val="en-US"/>
        </w:rPr>
        <w:t xml:space="preserve">not </w:t>
      </w:r>
      <w:r w:rsidR="00706D35" w:rsidRPr="00D56AF5">
        <w:rPr>
          <w:rFonts w:ascii="Garamond" w:hAnsi="Garamond"/>
          <w:sz w:val="24"/>
          <w:szCs w:val="24"/>
          <w:lang w:val="en-US"/>
        </w:rPr>
        <w:t xml:space="preserve">be </w:t>
      </w:r>
      <w:r w:rsidR="00B960B8" w:rsidRPr="00D56AF5">
        <w:rPr>
          <w:rFonts w:ascii="Garamond" w:hAnsi="Garamond"/>
          <w:sz w:val="24"/>
          <w:szCs w:val="24"/>
          <w:lang w:val="en-US"/>
        </w:rPr>
        <w:t>valued in the same way. The individual person is the final situs of moral worth</w:t>
      </w:r>
      <w:r w:rsidR="00F420B8" w:rsidRPr="00D56AF5">
        <w:rPr>
          <w:rFonts w:ascii="Garamond" w:hAnsi="Garamond"/>
          <w:sz w:val="24"/>
          <w:szCs w:val="24"/>
          <w:lang w:val="en-US"/>
        </w:rPr>
        <w:t>,</w:t>
      </w:r>
      <w:r w:rsidR="00B960B8" w:rsidRPr="00D56AF5">
        <w:rPr>
          <w:rFonts w:ascii="Garamond" w:hAnsi="Garamond"/>
          <w:sz w:val="24"/>
          <w:szCs w:val="24"/>
          <w:lang w:val="en-US"/>
        </w:rPr>
        <w:t xml:space="preserve"> both in relation to individual autonomy and state autonomy.</w:t>
      </w:r>
      <w:r w:rsidR="00396AC1" w:rsidRPr="00D56AF5">
        <w:rPr>
          <w:rFonts w:ascii="Garamond" w:hAnsi="Garamond"/>
          <w:sz w:val="24"/>
          <w:szCs w:val="24"/>
          <w:lang w:val="en-US"/>
        </w:rPr>
        <w:t xml:space="preserve"> Resultingly, the value of sovereignty </w:t>
      </w:r>
      <w:r w:rsidR="008C034B" w:rsidRPr="00D56AF5">
        <w:rPr>
          <w:rFonts w:ascii="Garamond" w:hAnsi="Garamond"/>
          <w:sz w:val="24"/>
          <w:szCs w:val="24"/>
          <w:lang w:val="en-US"/>
        </w:rPr>
        <w:t>derives from the</w:t>
      </w:r>
      <w:r w:rsidR="00396AC1" w:rsidRPr="00D56AF5">
        <w:rPr>
          <w:rFonts w:ascii="Garamond" w:hAnsi="Garamond"/>
          <w:sz w:val="24"/>
          <w:szCs w:val="24"/>
          <w:lang w:val="en-US"/>
        </w:rPr>
        <w:t xml:space="preserve"> value of autonomy of the political community and the subjects constituting it.</w:t>
      </w:r>
      <w:r w:rsidR="00396AC1" w:rsidRPr="00D56AF5">
        <w:rPr>
          <w:rStyle w:val="FootnoteReference"/>
          <w:rFonts w:ascii="Garamond" w:hAnsi="Garamond"/>
          <w:sz w:val="24"/>
          <w:szCs w:val="24"/>
          <w:lang w:val="en-US"/>
        </w:rPr>
        <w:footnoteReference w:id="88"/>
      </w:r>
      <w:r w:rsidR="008C034B" w:rsidRPr="00D56AF5">
        <w:rPr>
          <w:rFonts w:ascii="Garamond" w:hAnsi="Garamond"/>
          <w:sz w:val="24"/>
          <w:szCs w:val="24"/>
          <w:lang w:val="en-US"/>
        </w:rPr>
        <w:t xml:space="preserve"> </w:t>
      </w:r>
      <w:r w:rsidR="000E5460" w:rsidRPr="00D56AF5">
        <w:rPr>
          <w:rFonts w:ascii="Garamond" w:hAnsi="Garamond"/>
          <w:sz w:val="24"/>
          <w:szCs w:val="24"/>
          <w:lang w:val="en-US"/>
        </w:rPr>
        <w:t xml:space="preserve">In this sense, </w:t>
      </w:r>
      <w:r w:rsidR="0093470C" w:rsidRPr="00D56AF5">
        <w:rPr>
          <w:rFonts w:ascii="Garamond" w:hAnsi="Garamond"/>
          <w:sz w:val="24"/>
          <w:szCs w:val="24"/>
          <w:lang w:val="en-US"/>
        </w:rPr>
        <w:t xml:space="preserve">individual autonomy </w:t>
      </w:r>
      <w:r w:rsidR="00A7045F">
        <w:rPr>
          <w:rFonts w:ascii="Garamond" w:hAnsi="Garamond"/>
          <w:sz w:val="24"/>
          <w:szCs w:val="24"/>
          <w:lang w:val="en-US"/>
        </w:rPr>
        <w:t>would</w:t>
      </w:r>
      <w:r w:rsidR="00023023" w:rsidRPr="00D56AF5">
        <w:rPr>
          <w:rFonts w:ascii="Garamond" w:hAnsi="Garamond"/>
          <w:sz w:val="24"/>
          <w:szCs w:val="24"/>
          <w:lang w:val="en-US"/>
        </w:rPr>
        <w:t xml:space="preserve"> </w:t>
      </w:r>
      <w:r w:rsidR="0093470C" w:rsidRPr="00D56AF5">
        <w:rPr>
          <w:rFonts w:ascii="Garamond" w:hAnsi="Garamond"/>
          <w:sz w:val="24"/>
          <w:szCs w:val="24"/>
          <w:lang w:val="en-US"/>
        </w:rPr>
        <w:t xml:space="preserve">have </w:t>
      </w:r>
      <w:r w:rsidR="00490758" w:rsidRPr="00D56AF5">
        <w:rPr>
          <w:rFonts w:ascii="Garamond" w:hAnsi="Garamond"/>
          <w:sz w:val="24"/>
          <w:szCs w:val="24"/>
          <w:lang w:val="en-US"/>
        </w:rPr>
        <w:t xml:space="preserve">instrumental </w:t>
      </w:r>
      <w:r w:rsidR="006B7EC7" w:rsidRPr="00D56AF5">
        <w:rPr>
          <w:rFonts w:ascii="Garamond" w:hAnsi="Garamond"/>
          <w:sz w:val="24"/>
          <w:szCs w:val="24"/>
          <w:lang w:val="en-US"/>
        </w:rPr>
        <w:t xml:space="preserve">and intrinsic </w:t>
      </w:r>
      <w:r w:rsidR="00490758" w:rsidRPr="00D56AF5">
        <w:rPr>
          <w:rFonts w:ascii="Garamond" w:hAnsi="Garamond"/>
          <w:sz w:val="24"/>
          <w:szCs w:val="24"/>
          <w:lang w:val="en-US"/>
        </w:rPr>
        <w:t>value,</w:t>
      </w:r>
      <w:r w:rsidR="0093470C" w:rsidRPr="00D56AF5">
        <w:rPr>
          <w:rStyle w:val="FootnoteReference"/>
          <w:rFonts w:ascii="Garamond" w:hAnsi="Garamond"/>
          <w:sz w:val="24"/>
          <w:szCs w:val="24"/>
          <w:lang w:val="en-US"/>
        </w:rPr>
        <w:footnoteReference w:id="89"/>
      </w:r>
      <w:r w:rsidR="00023023" w:rsidRPr="00D56AF5">
        <w:rPr>
          <w:rFonts w:ascii="Garamond" w:hAnsi="Garamond"/>
          <w:sz w:val="24"/>
          <w:szCs w:val="24"/>
          <w:lang w:val="en-US"/>
        </w:rPr>
        <w:t xml:space="preserve"> </w:t>
      </w:r>
      <w:r w:rsidR="00490758" w:rsidRPr="00D56AF5">
        <w:rPr>
          <w:rFonts w:ascii="Garamond" w:hAnsi="Garamond"/>
          <w:sz w:val="24"/>
          <w:szCs w:val="24"/>
          <w:lang w:val="en-US"/>
        </w:rPr>
        <w:t xml:space="preserve">but </w:t>
      </w:r>
      <w:r w:rsidR="003E7EDC" w:rsidRPr="00D56AF5">
        <w:rPr>
          <w:rFonts w:ascii="Garamond" w:hAnsi="Garamond"/>
          <w:sz w:val="24"/>
          <w:szCs w:val="24"/>
          <w:lang w:val="en-US"/>
        </w:rPr>
        <w:t>the state’s sovereignty only has instrumental and extrinsic value.</w:t>
      </w:r>
      <w:r w:rsidR="003E7EDC" w:rsidRPr="00D56AF5">
        <w:rPr>
          <w:rStyle w:val="FootnoteReference"/>
          <w:rFonts w:ascii="Garamond" w:hAnsi="Garamond"/>
          <w:sz w:val="24"/>
          <w:szCs w:val="24"/>
          <w:lang w:val="en-US"/>
        </w:rPr>
        <w:footnoteReference w:id="90"/>
      </w:r>
      <w:r w:rsidR="00023023" w:rsidRPr="00D56AF5">
        <w:rPr>
          <w:rFonts w:ascii="Garamond" w:hAnsi="Garamond"/>
          <w:sz w:val="24"/>
          <w:szCs w:val="24"/>
          <w:lang w:val="en-US"/>
        </w:rPr>
        <w:t xml:space="preserve"> </w:t>
      </w:r>
    </w:p>
    <w:p w14:paraId="6889918E" w14:textId="15B75E94" w:rsidR="000D795F" w:rsidRPr="00D56AF5" w:rsidRDefault="00944F2F"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Nevertheless, </w:t>
      </w:r>
      <w:r w:rsidR="00943D45" w:rsidRPr="00D56AF5">
        <w:rPr>
          <w:rFonts w:ascii="Garamond" w:hAnsi="Garamond"/>
          <w:sz w:val="24"/>
          <w:szCs w:val="24"/>
          <w:lang w:val="en-US"/>
        </w:rPr>
        <w:t xml:space="preserve">I </w:t>
      </w:r>
      <w:r w:rsidR="006547E8" w:rsidRPr="00D56AF5">
        <w:rPr>
          <w:rFonts w:ascii="Garamond" w:hAnsi="Garamond"/>
          <w:sz w:val="24"/>
          <w:szCs w:val="24"/>
          <w:lang w:val="en-US"/>
        </w:rPr>
        <w:t xml:space="preserve">invoke </w:t>
      </w:r>
      <w:r w:rsidR="000D2349">
        <w:rPr>
          <w:rFonts w:ascii="Garamond" w:hAnsi="Garamond"/>
          <w:sz w:val="24"/>
          <w:szCs w:val="24"/>
          <w:lang w:val="en-US"/>
        </w:rPr>
        <w:t>the</w:t>
      </w:r>
      <w:r w:rsidR="00943D45" w:rsidRPr="00D56AF5">
        <w:rPr>
          <w:rFonts w:ascii="Garamond" w:hAnsi="Garamond"/>
          <w:sz w:val="24"/>
          <w:szCs w:val="24"/>
          <w:lang w:val="en-US"/>
        </w:rPr>
        <w:t xml:space="preserve"> analogy to make two points. First,</w:t>
      </w:r>
      <w:r w:rsidR="003E225B" w:rsidRPr="00D56AF5">
        <w:rPr>
          <w:rFonts w:ascii="Garamond" w:hAnsi="Garamond"/>
          <w:sz w:val="24"/>
          <w:szCs w:val="24"/>
          <w:lang w:val="en-US"/>
        </w:rPr>
        <w:t xml:space="preserve"> </w:t>
      </w:r>
      <w:r w:rsidR="005E3539">
        <w:rPr>
          <w:rFonts w:ascii="Garamond" w:hAnsi="Garamond"/>
          <w:sz w:val="24"/>
          <w:szCs w:val="24"/>
          <w:lang w:val="en-US"/>
        </w:rPr>
        <w:t xml:space="preserve">external </w:t>
      </w:r>
      <w:r w:rsidR="00252C99" w:rsidRPr="00D56AF5">
        <w:rPr>
          <w:rFonts w:ascii="Garamond" w:hAnsi="Garamond"/>
          <w:sz w:val="24"/>
          <w:szCs w:val="24"/>
          <w:lang w:val="en-US"/>
        </w:rPr>
        <w:t>sovereignty is</w:t>
      </w:r>
      <w:r w:rsidR="009D5E02">
        <w:rPr>
          <w:rFonts w:ascii="Garamond" w:hAnsi="Garamond"/>
          <w:sz w:val="24"/>
          <w:szCs w:val="24"/>
          <w:lang w:val="en-US"/>
        </w:rPr>
        <w:t xml:space="preserve"> </w:t>
      </w:r>
      <w:r w:rsidR="008274BA">
        <w:rPr>
          <w:rFonts w:ascii="Garamond" w:hAnsi="Garamond"/>
          <w:sz w:val="24"/>
          <w:szCs w:val="24"/>
          <w:lang w:val="en-US"/>
        </w:rPr>
        <w:t xml:space="preserve">required </w:t>
      </w:r>
      <w:r w:rsidR="009D5E02">
        <w:rPr>
          <w:rFonts w:ascii="Garamond" w:hAnsi="Garamond"/>
          <w:sz w:val="24"/>
          <w:szCs w:val="24"/>
          <w:lang w:val="en-US"/>
        </w:rPr>
        <w:t xml:space="preserve">for a state to promote the flourishing of its community, </w:t>
      </w:r>
      <w:r w:rsidR="00C1226F">
        <w:rPr>
          <w:rFonts w:ascii="Garamond" w:hAnsi="Garamond"/>
          <w:sz w:val="24"/>
          <w:szCs w:val="24"/>
          <w:lang w:val="en-US"/>
        </w:rPr>
        <w:t>and</w:t>
      </w:r>
      <w:r w:rsidR="009D5E02">
        <w:rPr>
          <w:rFonts w:ascii="Garamond" w:hAnsi="Garamond"/>
          <w:sz w:val="24"/>
          <w:szCs w:val="24"/>
          <w:lang w:val="en-US"/>
        </w:rPr>
        <w:t xml:space="preserve"> it is limited </w:t>
      </w:r>
      <w:r w:rsidR="003567E1">
        <w:rPr>
          <w:rFonts w:ascii="Garamond" w:hAnsi="Garamond"/>
          <w:sz w:val="24"/>
          <w:szCs w:val="24"/>
          <w:lang w:val="en-US"/>
        </w:rPr>
        <w:t xml:space="preserve">to the independence </w:t>
      </w:r>
      <w:r w:rsidR="008274BA">
        <w:rPr>
          <w:rFonts w:ascii="Garamond" w:hAnsi="Garamond"/>
          <w:sz w:val="24"/>
          <w:szCs w:val="24"/>
          <w:lang w:val="en-US"/>
        </w:rPr>
        <w:t xml:space="preserve">needed </w:t>
      </w:r>
      <w:r w:rsidR="003567E1">
        <w:rPr>
          <w:rFonts w:ascii="Garamond" w:hAnsi="Garamond"/>
          <w:sz w:val="24"/>
          <w:szCs w:val="24"/>
          <w:lang w:val="en-US"/>
        </w:rPr>
        <w:t>for that</w:t>
      </w:r>
      <w:r w:rsidR="006404DA">
        <w:rPr>
          <w:rFonts w:ascii="Garamond" w:hAnsi="Garamond"/>
          <w:sz w:val="24"/>
          <w:szCs w:val="24"/>
          <w:lang w:val="en-US"/>
        </w:rPr>
        <w:t xml:space="preserve">. </w:t>
      </w:r>
      <w:r w:rsidR="00252C99" w:rsidRPr="00D56AF5">
        <w:rPr>
          <w:rFonts w:ascii="Garamond" w:hAnsi="Garamond"/>
          <w:sz w:val="24"/>
          <w:szCs w:val="24"/>
          <w:lang w:val="en-US"/>
        </w:rPr>
        <w:t xml:space="preserve">Second, </w:t>
      </w:r>
      <w:r w:rsidR="003E225B" w:rsidRPr="00D56AF5">
        <w:rPr>
          <w:rFonts w:ascii="Garamond" w:hAnsi="Garamond"/>
          <w:sz w:val="24"/>
          <w:szCs w:val="24"/>
          <w:lang w:val="en-US"/>
        </w:rPr>
        <w:t xml:space="preserve">external </w:t>
      </w:r>
      <w:r w:rsidR="00252C99" w:rsidRPr="00D56AF5">
        <w:rPr>
          <w:rFonts w:ascii="Garamond" w:hAnsi="Garamond"/>
          <w:sz w:val="24"/>
          <w:szCs w:val="24"/>
          <w:lang w:val="en-US"/>
        </w:rPr>
        <w:t xml:space="preserve">authority </w:t>
      </w:r>
      <w:r w:rsidR="003E225B" w:rsidRPr="00D56AF5">
        <w:rPr>
          <w:rFonts w:ascii="Garamond" w:hAnsi="Garamond"/>
          <w:sz w:val="24"/>
          <w:szCs w:val="24"/>
          <w:lang w:val="en-US"/>
        </w:rPr>
        <w:t>can be compatible with sovereignty</w:t>
      </w:r>
      <w:r w:rsidR="00CF3E5B" w:rsidRPr="00D56AF5">
        <w:rPr>
          <w:rFonts w:ascii="Garamond" w:hAnsi="Garamond"/>
          <w:sz w:val="24"/>
          <w:szCs w:val="24"/>
          <w:lang w:val="en-US"/>
        </w:rPr>
        <w:t xml:space="preserve"> if it </w:t>
      </w:r>
      <w:r w:rsidR="00826452">
        <w:rPr>
          <w:rFonts w:ascii="Garamond" w:hAnsi="Garamond"/>
          <w:sz w:val="24"/>
          <w:szCs w:val="24"/>
          <w:lang w:val="en-US"/>
        </w:rPr>
        <w:t xml:space="preserve">accords </w:t>
      </w:r>
      <w:r w:rsidR="003D77CE" w:rsidRPr="00D56AF5">
        <w:rPr>
          <w:rFonts w:ascii="Garamond" w:hAnsi="Garamond"/>
          <w:sz w:val="24"/>
          <w:szCs w:val="24"/>
          <w:lang w:val="en-US"/>
        </w:rPr>
        <w:t xml:space="preserve">with the normative justification for </w:t>
      </w:r>
      <w:r w:rsidR="00CF3E5B" w:rsidRPr="00D56AF5">
        <w:rPr>
          <w:rFonts w:ascii="Garamond" w:hAnsi="Garamond"/>
          <w:sz w:val="24"/>
          <w:szCs w:val="24"/>
          <w:lang w:val="en-US"/>
        </w:rPr>
        <w:t>sovereignty</w:t>
      </w:r>
      <w:r w:rsidR="003E225B" w:rsidRPr="00D56AF5">
        <w:rPr>
          <w:rFonts w:ascii="Garamond" w:hAnsi="Garamond"/>
          <w:sz w:val="24"/>
          <w:szCs w:val="24"/>
          <w:lang w:val="en-US"/>
        </w:rPr>
        <w:t>.</w:t>
      </w:r>
    </w:p>
    <w:p w14:paraId="238C0479" w14:textId="2AD41158" w:rsidR="00286F9F" w:rsidRPr="00D56AF5" w:rsidRDefault="0058482C" w:rsidP="001340AF">
      <w:pPr>
        <w:spacing w:after="120" w:line="480" w:lineRule="auto"/>
        <w:jc w:val="both"/>
        <w:rPr>
          <w:rFonts w:ascii="Garamond" w:hAnsi="Garamond"/>
          <w:sz w:val="24"/>
          <w:szCs w:val="24"/>
          <w:lang w:val="en-US"/>
        </w:rPr>
      </w:pPr>
      <w:r>
        <w:rPr>
          <w:rFonts w:ascii="Garamond" w:hAnsi="Garamond"/>
          <w:sz w:val="24"/>
          <w:szCs w:val="24"/>
          <w:lang w:val="en-US"/>
        </w:rPr>
        <w:t>In conjunction,</w:t>
      </w:r>
      <w:r w:rsidR="00D113F8" w:rsidRPr="00D56AF5">
        <w:rPr>
          <w:rFonts w:ascii="Garamond" w:hAnsi="Garamond"/>
          <w:sz w:val="24"/>
          <w:szCs w:val="24"/>
          <w:lang w:val="en-US"/>
        </w:rPr>
        <w:t xml:space="preserve"> </w:t>
      </w:r>
      <w:r>
        <w:rPr>
          <w:rFonts w:ascii="Garamond" w:hAnsi="Garamond"/>
          <w:sz w:val="24"/>
          <w:szCs w:val="24"/>
          <w:lang w:val="en-US"/>
        </w:rPr>
        <w:t>this</w:t>
      </w:r>
      <w:r w:rsidR="00D113F8" w:rsidRPr="00D56AF5">
        <w:rPr>
          <w:rFonts w:ascii="Garamond" w:hAnsi="Garamond"/>
          <w:sz w:val="24"/>
          <w:szCs w:val="24"/>
          <w:lang w:val="en-US"/>
        </w:rPr>
        <w:t xml:space="preserve"> </w:t>
      </w:r>
      <w:r w:rsidR="0069475B" w:rsidRPr="00D56AF5">
        <w:rPr>
          <w:rFonts w:ascii="Garamond" w:hAnsi="Garamond"/>
          <w:sz w:val="24"/>
          <w:szCs w:val="24"/>
          <w:lang w:val="en-US"/>
        </w:rPr>
        <w:t>helps us identify</w:t>
      </w:r>
      <w:r w:rsidR="00E936B5" w:rsidRPr="00D56AF5">
        <w:rPr>
          <w:rFonts w:ascii="Garamond" w:hAnsi="Garamond"/>
          <w:sz w:val="24"/>
          <w:szCs w:val="24"/>
          <w:lang w:val="en-US"/>
        </w:rPr>
        <w:t xml:space="preserve"> </w:t>
      </w:r>
      <w:r w:rsidR="00E613C0" w:rsidRPr="00D56AF5">
        <w:rPr>
          <w:rFonts w:ascii="Garamond" w:hAnsi="Garamond"/>
          <w:sz w:val="24"/>
          <w:szCs w:val="24"/>
          <w:lang w:val="en-US"/>
        </w:rPr>
        <w:t>a better</w:t>
      </w:r>
      <w:r w:rsidR="00E936B5" w:rsidRPr="00D56AF5">
        <w:rPr>
          <w:rFonts w:ascii="Garamond" w:hAnsi="Garamond"/>
          <w:sz w:val="24"/>
          <w:szCs w:val="24"/>
          <w:lang w:val="en-US"/>
        </w:rPr>
        <w:t xml:space="preserve"> </w:t>
      </w:r>
      <w:r w:rsidR="00F97990" w:rsidRPr="00D56AF5">
        <w:rPr>
          <w:rFonts w:ascii="Garamond" w:hAnsi="Garamond"/>
          <w:sz w:val="24"/>
          <w:szCs w:val="24"/>
          <w:lang w:val="en-US"/>
        </w:rPr>
        <w:t xml:space="preserve">theoretical explanation </w:t>
      </w:r>
      <w:r w:rsidR="00C81721">
        <w:rPr>
          <w:rFonts w:ascii="Garamond" w:hAnsi="Garamond"/>
          <w:sz w:val="24"/>
          <w:szCs w:val="24"/>
          <w:lang w:val="en-US"/>
        </w:rPr>
        <w:t xml:space="preserve">than the consent theory, </w:t>
      </w:r>
      <w:r w:rsidR="00F97990" w:rsidRPr="00D56AF5">
        <w:rPr>
          <w:rFonts w:ascii="Garamond" w:hAnsi="Garamond"/>
          <w:sz w:val="24"/>
          <w:szCs w:val="24"/>
          <w:lang w:val="en-US"/>
        </w:rPr>
        <w:t>for international law’s authority</w:t>
      </w:r>
      <w:r w:rsidR="00FD0E73" w:rsidRPr="00D56AF5">
        <w:rPr>
          <w:rFonts w:ascii="Garamond" w:hAnsi="Garamond"/>
          <w:sz w:val="24"/>
          <w:szCs w:val="24"/>
          <w:lang w:val="en-US"/>
        </w:rPr>
        <w:t xml:space="preserve">– the </w:t>
      </w:r>
      <w:proofErr w:type="spellStart"/>
      <w:r w:rsidR="00FD0E73" w:rsidRPr="00D56AF5">
        <w:rPr>
          <w:rFonts w:ascii="Garamond" w:hAnsi="Garamond"/>
          <w:sz w:val="24"/>
          <w:szCs w:val="24"/>
          <w:lang w:val="en-US"/>
        </w:rPr>
        <w:t>Razian</w:t>
      </w:r>
      <w:proofErr w:type="spellEnd"/>
      <w:r w:rsidR="00FD0E73" w:rsidRPr="00D56AF5">
        <w:rPr>
          <w:rFonts w:ascii="Garamond" w:hAnsi="Garamond"/>
          <w:sz w:val="24"/>
          <w:szCs w:val="24"/>
          <w:lang w:val="en-US"/>
        </w:rPr>
        <w:t xml:space="preserve"> service conception of authority</w:t>
      </w:r>
      <w:r w:rsidR="00F97990" w:rsidRPr="00D56AF5">
        <w:rPr>
          <w:rFonts w:ascii="Garamond" w:hAnsi="Garamond"/>
          <w:sz w:val="24"/>
          <w:szCs w:val="24"/>
          <w:lang w:val="en-US"/>
        </w:rPr>
        <w:t>.</w:t>
      </w:r>
      <w:r w:rsidR="004750F9" w:rsidRPr="00D56AF5">
        <w:rPr>
          <w:rStyle w:val="FootnoteReference"/>
          <w:rFonts w:ascii="Garamond" w:hAnsi="Garamond"/>
          <w:sz w:val="24"/>
          <w:szCs w:val="24"/>
          <w:lang w:val="en-US"/>
        </w:rPr>
        <w:footnoteReference w:id="91"/>
      </w:r>
      <w:r w:rsidR="00F97990" w:rsidRPr="00D56AF5">
        <w:rPr>
          <w:rFonts w:ascii="Garamond" w:hAnsi="Garamond"/>
          <w:sz w:val="24"/>
          <w:szCs w:val="24"/>
          <w:lang w:val="en-US"/>
        </w:rPr>
        <w:t xml:space="preserve"> </w:t>
      </w:r>
      <w:r w:rsidR="00FE5D1A" w:rsidRPr="00D56AF5">
        <w:rPr>
          <w:rFonts w:ascii="Garamond" w:hAnsi="Garamond"/>
          <w:sz w:val="24"/>
          <w:szCs w:val="24"/>
          <w:lang w:val="en-US"/>
        </w:rPr>
        <w:t>Under this conception, international law</w:t>
      </w:r>
      <w:r w:rsidR="003720B9" w:rsidRPr="00D56AF5">
        <w:rPr>
          <w:rFonts w:ascii="Garamond" w:hAnsi="Garamond"/>
          <w:sz w:val="24"/>
          <w:szCs w:val="24"/>
          <w:lang w:val="en-US"/>
        </w:rPr>
        <w:t xml:space="preserve"> </w:t>
      </w:r>
      <w:r w:rsidR="00FE5D1A" w:rsidRPr="00D56AF5">
        <w:rPr>
          <w:rFonts w:ascii="Garamond" w:hAnsi="Garamond"/>
          <w:sz w:val="24"/>
          <w:szCs w:val="24"/>
          <w:lang w:val="en-US"/>
        </w:rPr>
        <w:t xml:space="preserve">would have </w:t>
      </w:r>
      <w:r w:rsidR="003720B9" w:rsidRPr="00D56AF5">
        <w:rPr>
          <w:rFonts w:ascii="Garamond" w:hAnsi="Garamond"/>
          <w:sz w:val="24"/>
          <w:szCs w:val="24"/>
          <w:lang w:val="en-US"/>
        </w:rPr>
        <w:t>authority over a state when it</w:t>
      </w:r>
      <w:r w:rsidR="00D1277E" w:rsidRPr="00D56AF5">
        <w:rPr>
          <w:rFonts w:ascii="Garamond" w:hAnsi="Garamond"/>
          <w:sz w:val="24"/>
          <w:szCs w:val="24"/>
          <w:lang w:val="en-US"/>
        </w:rPr>
        <w:t>s directives provide reasons for compliance that are</w:t>
      </w:r>
      <w:r w:rsidR="003720B9" w:rsidRPr="00D56AF5">
        <w:rPr>
          <w:rFonts w:ascii="Garamond" w:hAnsi="Garamond"/>
          <w:sz w:val="24"/>
          <w:szCs w:val="24"/>
          <w:lang w:val="en-US"/>
        </w:rPr>
        <w:t xml:space="preserve"> (</w:t>
      </w:r>
      <w:proofErr w:type="spellStart"/>
      <w:r w:rsidR="00D1277E" w:rsidRPr="00D56AF5">
        <w:rPr>
          <w:rFonts w:ascii="Garamond" w:hAnsi="Garamond"/>
          <w:sz w:val="24"/>
          <w:szCs w:val="24"/>
          <w:lang w:val="en-US"/>
        </w:rPr>
        <w:t>i</w:t>
      </w:r>
      <w:proofErr w:type="spellEnd"/>
      <w:r w:rsidR="003720B9" w:rsidRPr="00D56AF5">
        <w:rPr>
          <w:rFonts w:ascii="Garamond" w:hAnsi="Garamond"/>
          <w:sz w:val="24"/>
          <w:szCs w:val="24"/>
          <w:lang w:val="en-US"/>
        </w:rPr>
        <w:t xml:space="preserve">) </w:t>
      </w:r>
      <w:r w:rsidR="00D1277E" w:rsidRPr="00D56AF5">
        <w:rPr>
          <w:rFonts w:ascii="Garamond" w:hAnsi="Garamond"/>
          <w:sz w:val="24"/>
          <w:szCs w:val="24"/>
          <w:lang w:val="en-US"/>
        </w:rPr>
        <w:t>content-independent</w:t>
      </w:r>
      <w:r w:rsidR="003720B9" w:rsidRPr="00D56AF5">
        <w:rPr>
          <w:rFonts w:ascii="Garamond" w:hAnsi="Garamond"/>
          <w:sz w:val="24"/>
          <w:szCs w:val="24"/>
          <w:lang w:val="en-US"/>
        </w:rPr>
        <w:t>; and (ii)</w:t>
      </w:r>
      <w:r w:rsidR="00D1277E" w:rsidRPr="00D56AF5">
        <w:rPr>
          <w:rFonts w:ascii="Garamond" w:hAnsi="Garamond"/>
          <w:sz w:val="24"/>
          <w:szCs w:val="24"/>
          <w:lang w:val="en-US"/>
        </w:rPr>
        <w:t xml:space="preserve"> exclusionary</w:t>
      </w:r>
      <w:r w:rsidR="000B7A49" w:rsidRPr="00D56AF5">
        <w:rPr>
          <w:rFonts w:ascii="Garamond" w:hAnsi="Garamond"/>
          <w:sz w:val="24"/>
          <w:szCs w:val="24"/>
          <w:lang w:val="en-US"/>
        </w:rPr>
        <w:t xml:space="preserve"> in nature.</w:t>
      </w:r>
      <w:r w:rsidR="000B7A49" w:rsidRPr="00D56AF5">
        <w:rPr>
          <w:rStyle w:val="FootnoteReference"/>
          <w:rFonts w:ascii="Garamond" w:hAnsi="Garamond"/>
          <w:sz w:val="24"/>
          <w:szCs w:val="24"/>
          <w:lang w:val="en-US"/>
        </w:rPr>
        <w:footnoteReference w:id="92"/>
      </w:r>
      <w:r w:rsidR="00CD6D2E" w:rsidRPr="00D56AF5">
        <w:rPr>
          <w:rFonts w:ascii="Garamond" w:hAnsi="Garamond"/>
          <w:sz w:val="24"/>
          <w:szCs w:val="24"/>
          <w:lang w:val="en-US"/>
        </w:rPr>
        <w:t xml:space="preserve"> This authority </w:t>
      </w:r>
      <w:r w:rsidR="00FE5D1A" w:rsidRPr="00D56AF5">
        <w:rPr>
          <w:rFonts w:ascii="Garamond" w:hAnsi="Garamond"/>
          <w:sz w:val="24"/>
          <w:szCs w:val="24"/>
          <w:lang w:val="en-US"/>
        </w:rPr>
        <w:t xml:space="preserve">would be </w:t>
      </w:r>
      <w:r w:rsidR="00CD6D2E" w:rsidRPr="00D56AF5">
        <w:rPr>
          <w:rFonts w:ascii="Garamond" w:hAnsi="Garamond"/>
          <w:sz w:val="24"/>
          <w:szCs w:val="24"/>
          <w:lang w:val="en-US"/>
        </w:rPr>
        <w:t xml:space="preserve">justified when </w:t>
      </w:r>
      <w:r w:rsidR="00874026" w:rsidRPr="00D56AF5">
        <w:rPr>
          <w:rFonts w:ascii="Garamond" w:hAnsi="Garamond"/>
          <w:sz w:val="24"/>
          <w:szCs w:val="24"/>
          <w:lang w:val="en-US"/>
        </w:rPr>
        <w:t>(</w:t>
      </w:r>
      <w:proofErr w:type="spellStart"/>
      <w:r w:rsidR="00874026" w:rsidRPr="00D56AF5">
        <w:rPr>
          <w:rFonts w:ascii="Garamond" w:hAnsi="Garamond"/>
          <w:sz w:val="24"/>
          <w:szCs w:val="24"/>
          <w:lang w:val="en-US"/>
        </w:rPr>
        <w:t>i</w:t>
      </w:r>
      <w:proofErr w:type="spellEnd"/>
      <w:r w:rsidR="00874026" w:rsidRPr="00D56AF5">
        <w:rPr>
          <w:rFonts w:ascii="Garamond" w:hAnsi="Garamond"/>
          <w:sz w:val="24"/>
          <w:szCs w:val="24"/>
          <w:lang w:val="en-US"/>
        </w:rPr>
        <w:t xml:space="preserve">) </w:t>
      </w:r>
      <w:r w:rsidR="0063623E" w:rsidRPr="00D56AF5">
        <w:rPr>
          <w:rFonts w:ascii="Garamond" w:hAnsi="Garamond"/>
          <w:sz w:val="24"/>
          <w:szCs w:val="24"/>
          <w:lang w:val="en-US"/>
        </w:rPr>
        <w:t xml:space="preserve">the directives </w:t>
      </w:r>
      <w:r w:rsidR="00874026" w:rsidRPr="00D56AF5">
        <w:rPr>
          <w:rFonts w:ascii="Garamond" w:hAnsi="Garamond"/>
          <w:sz w:val="24"/>
          <w:szCs w:val="24"/>
          <w:lang w:val="en-US"/>
        </w:rPr>
        <w:t>reflect reasons that already apply to the state</w:t>
      </w:r>
      <w:r w:rsidR="00B5433C" w:rsidRPr="00D56AF5">
        <w:rPr>
          <w:rFonts w:ascii="Garamond" w:hAnsi="Garamond"/>
          <w:sz w:val="24"/>
          <w:szCs w:val="24"/>
          <w:lang w:val="en-US"/>
        </w:rPr>
        <w:t xml:space="preserve"> (‘the dependence thesis’)</w:t>
      </w:r>
      <w:r w:rsidR="00874026" w:rsidRPr="00D56AF5">
        <w:rPr>
          <w:rFonts w:ascii="Garamond" w:hAnsi="Garamond"/>
          <w:sz w:val="24"/>
          <w:szCs w:val="24"/>
          <w:lang w:val="en-US"/>
        </w:rPr>
        <w:t xml:space="preserve">; (ii) </w:t>
      </w:r>
      <w:r w:rsidR="0063623E" w:rsidRPr="00D56AF5">
        <w:rPr>
          <w:rFonts w:ascii="Garamond" w:hAnsi="Garamond"/>
          <w:sz w:val="24"/>
          <w:szCs w:val="24"/>
          <w:lang w:val="en-US"/>
        </w:rPr>
        <w:t>the state would better conform to the reasons which already apply to it, if it complied with the directives</w:t>
      </w:r>
      <w:r w:rsidR="004D0FF4">
        <w:rPr>
          <w:rFonts w:ascii="Garamond" w:hAnsi="Garamond"/>
          <w:sz w:val="24"/>
          <w:szCs w:val="24"/>
          <w:lang w:val="en-US"/>
        </w:rPr>
        <w:t>,</w:t>
      </w:r>
      <w:r w:rsidR="00FA21DF" w:rsidRPr="00D56AF5">
        <w:rPr>
          <w:rFonts w:ascii="Garamond" w:hAnsi="Garamond"/>
          <w:sz w:val="24"/>
          <w:szCs w:val="24"/>
          <w:lang w:val="en-US"/>
        </w:rPr>
        <w:t xml:space="preserve"> rather than following the reasons which directly apply to it</w:t>
      </w:r>
      <w:r w:rsidR="004B547F" w:rsidRPr="00D56AF5">
        <w:rPr>
          <w:rFonts w:ascii="Garamond" w:hAnsi="Garamond"/>
          <w:sz w:val="24"/>
          <w:szCs w:val="24"/>
          <w:lang w:val="en-US"/>
        </w:rPr>
        <w:t xml:space="preserve"> (the normal </w:t>
      </w:r>
      <w:r w:rsidR="004B547F" w:rsidRPr="00D56AF5">
        <w:rPr>
          <w:rFonts w:ascii="Garamond" w:hAnsi="Garamond"/>
          <w:sz w:val="24"/>
          <w:szCs w:val="24"/>
          <w:lang w:val="en-US"/>
        </w:rPr>
        <w:lastRenderedPageBreak/>
        <w:t>justification thesis “NJT”)</w:t>
      </w:r>
      <w:r w:rsidR="00723D5E">
        <w:rPr>
          <w:rFonts w:ascii="Garamond" w:hAnsi="Garamond"/>
          <w:sz w:val="24"/>
          <w:szCs w:val="24"/>
          <w:lang w:val="en-US"/>
        </w:rPr>
        <w:t>; and</w:t>
      </w:r>
      <w:r w:rsidR="009C2875" w:rsidRPr="00D56AF5">
        <w:rPr>
          <w:rFonts w:ascii="Garamond" w:hAnsi="Garamond"/>
          <w:sz w:val="24"/>
          <w:szCs w:val="24"/>
          <w:lang w:val="en-US"/>
        </w:rPr>
        <w:t xml:space="preserve"> (iii) </w:t>
      </w:r>
      <w:r w:rsidR="009B0BE6" w:rsidRPr="00D56AF5">
        <w:rPr>
          <w:rFonts w:ascii="Garamond" w:hAnsi="Garamond"/>
          <w:sz w:val="24"/>
          <w:szCs w:val="24"/>
          <w:lang w:val="en-US"/>
        </w:rPr>
        <w:t xml:space="preserve">the </w:t>
      </w:r>
      <w:r w:rsidR="006631AD" w:rsidRPr="00D56AF5">
        <w:rPr>
          <w:rFonts w:ascii="Garamond" w:hAnsi="Garamond"/>
          <w:sz w:val="24"/>
          <w:szCs w:val="24"/>
          <w:lang w:val="en-US"/>
        </w:rPr>
        <w:t xml:space="preserve">directives pertain to matters in regard to which it is better to conform to reason than to </w:t>
      </w:r>
      <w:r w:rsidR="00E75148" w:rsidRPr="00D56AF5">
        <w:rPr>
          <w:rFonts w:ascii="Garamond" w:hAnsi="Garamond"/>
          <w:sz w:val="24"/>
          <w:szCs w:val="24"/>
          <w:lang w:val="en-US"/>
        </w:rPr>
        <w:t>decide for oneself (‘independence condition’)</w:t>
      </w:r>
      <w:r w:rsidR="00651324" w:rsidRPr="00D56AF5">
        <w:rPr>
          <w:rFonts w:ascii="Garamond" w:hAnsi="Garamond"/>
          <w:sz w:val="24"/>
          <w:szCs w:val="24"/>
          <w:lang w:val="en-US"/>
        </w:rPr>
        <w:t>.</w:t>
      </w:r>
      <w:r w:rsidR="0063623E" w:rsidRPr="00D56AF5">
        <w:rPr>
          <w:rStyle w:val="FootnoteReference"/>
          <w:rFonts w:ascii="Garamond" w:hAnsi="Garamond"/>
          <w:sz w:val="24"/>
          <w:szCs w:val="24"/>
          <w:lang w:val="en-US"/>
        </w:rPr>
        <w:footnoteReference w:id="93"/>
      </w:r>
      <w:r w:rsidR="00E66C39" w:rsidRPr="00D56AF5">
        <w:rPr>
          <w:rFonts w:ascii="Garamond" w:hAnsi="Garamond"/>
          <w:sz w:val="24"/>
          <w:szCs w:val="24"/>
          <w:lang w:val="en-US"/>
        </w:rPr>
        <w:t xml:space="preserve"> </w:t>
      </w:r>
    </w:p>
    <w:p w14:paraId="2E22227C" w14:textId="7902992A" w:rsidR="00513F42" w:rsidRDefault="008C3343"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The service conception is considered consistent with autonomy because it </w:t>
      </w:r>
      <w:r w:rsidR="007B5691" w:rsidRPr="00D56AF5">
        <w:rPr>
          <w:rFonts w:ascii="Garamond" w:hAnsi="Garamond"/>
          <w:sz w:val="24"/>
          <w:szCs w:val="24"/>
          <w:lang w:val="en-US"/>
        </w:rPr>
        <w:t>applies reasons that already apply to the subject</w:t>
      </w:r>
      <w:r w:rsidR="00CF5F81" w:rsidRPr="00D56AF5">
        <w:rPr>
          <w:rFonts w:ascii="Garamond" w:hAnsi="Garamond"/>
          <w:sz w:val="24"/>
          <w:szCs w:val="24"/>
          <w:lang w:val="en-US"/>
        </w:rPr>
        <w:t>.</w:t>
      </w:r>
      <w:r w:rsidR="00CF5F81" w:rsidRPr="00D56AF5">
        <w:rPr>
          <w:rStyle w:val="FootnoteReference"/>
          <w:rFonts w:ascii="Garamond" w:hAnsi="Garamond"/>
          <w:sz w:val="24"/>
          <w:szCs w:val="24"/>
          <w:lang w:val="en-US"/>
        </w:rPr>
        <w:footnoteReference w:id="94"/>
      </w:r>
      <w:r w:rsidR="00DD24E6" w:rsidRPr="00D56AF5">
        <w:rPr>
          <w:rFonts w:ascii="Garamond" w:hAnsi="Garamond"/>
          <w:sz w:val="24"/>
          <w:szCs w:val="24"/>
          <w:lang w:val="en-US"/>
        </w:rPr>
        <w:t xml:space="preserve"> Thus, international law has authority over a state</w:t>
      </w:r>
      <w:r w:rsidR="008D08EA">
        <w:rPr>
          <w:rFonts w:ascii="Garamond" w:hAnsi="Garamond"/>
          <w:sz w:val="24"/>
          <w:szCs w:val="24"/>
          <w:lang w:val="en-US"/>
        </w:rPr>
        <w:t>,</w:t>
      </w:r>
      <w:r w:rsidR="00DD24E6" w:rsidRPr="00D56AF5">
        <w:rPr>
          <w:rFonts w:ascii="Garamond" w:hAnsi="Garamond"/>
          <w:sz w:val="24"/>
          <w:szCs w:val="24"/>
          <w:lang w:val="en-US"/>
        </w:rPr>
        <w:t xml:space="preserve"> without the law’s authority affecting the sovereignty of that state, when it enhances the state’s autonomy</w:t>
      </w:r>
      <w:r w:rsidR="00542870" w:rsidRPr="00D56AF5">
        <w:rPr>
          <w:rFonts w:ascii="Garamond" w:hAnsi="Garamond"/>
          <w:sz w:val="24"/>
          <w:szCs w:val="24"/>
          <w:lang w:val="en-US"/>
        </w:rPr>
        <w:t>,</w:t>
      </w:r>
      <w:r w:rsidR="00DD24E6" w:rsidRPr="00D56AF5">
        <w:rPr>
          <w:rFonts w:ascii="Garamond" w:hAnsi="Garamond"/>
          <w:sz w:val="24"/>
          <w:szCs w:val="24"/>
          <w:lang w:val="en-US"/>
        </w:rPr>
        <w:t xml:space="preserve"> by </w:t>
      </w:r>
      <w:r w:rsidR="00DB781B" w:rsidRPr="00D56AF5">
        <w:rPr>
          <w:rFonts w:ascii="Garamond" w:hAnsi="Garamond"/>
          <w:sz w:val="24"/>
          <w:szCs w:val="24"/>
          <w:lang w:val="en-US"/>
        </w:rPr>
        <w:t>binding it to</w:t>
      </w:r>
      <w:r w:rsidR="00DD24E6" w:rsidRPr="00D56AF5">
        <w:rPr>
          <w:rFonts w:ascii="Garamond" w:hAnsi="Garamond"/>
          <w:sz w:val="24"/>
          <w:szCs w:val="24"/>
          <w:lang w:val="en-US"/>
        </w:rPr>
        <w:t xml:space="preserve"> reasons </w:t>
      </w:r>
      <w:r w:rsidR="00DB781B" w:rsidRPr="00D56AF5">
        <w:rPr>
          <w:rFonts w:ascii="Garamond" w:hAnsi="Garamond"/>
          <w:sz w:val="24"/>
          <w:szCs w:val="24"/>
          <w:lang w:val="en-US"/>
        </w:rPr>
        <w:t xml:space="preserve">which already apply to it. </w:t>
      </w:r>
      <w:r w:rsidR="00430A79" w:rsidRPr="00D56AF5">
        <w:rPr>
          <w:rFonts w:ascii="Garamond" w:hAnsi="Garamond"/>
          <w:sz w:val="24"/>
          <w:szCs w:val="24"/>
          <w:lang w:val="en-US"/>
        </w:rPr>
        <w:t>International law would not have justified</w:t>
      </w:r>
      <w:r w:rsidR="00432F1A" w:rsidRPr="00D56AF5">
        <w:rPr>
          <w:rFonts w:ascii="Garamond" w:hAnsi="Garamond"/>
          <w:sz w:val="24"/>
          <w:szCs w:val="24"/>
          <w:lang w:val="en-US"/>
        </w:rPr>
        <w:t xml:space="preserve"> or legitimate</w:t>
      </w:r>
      <w:r w:rsidR="00430A79" w:rsidRPr="00D56AF5">
        <w:rPr>
          <w:rFonts w:ascii="Garamond" w:hAnsi="Garamond"/>
          <w:sz w:val="24"/>
          <w:szCs w:val="24"/>
          <w:lang w:val="en-US"/>
        </w:rPr>
        <w:t xml:space="preserve"> authority o</w:t>
      </w:r>
      <w:r w:rsidR="00762706" w:rsidRPr="00D56AF5">
        <w:rPr>
          <w:rFonts w:ascii="Garamond" w:hAnsi="Garamond"/>
          <w:sz w:val="24"/>
          <w:szCs w:val="24"/>
          <w:lang w:val="en-US"/>
        </w:rPr>
        <w:t>ver</w:t>
      </w:r>
      <w:r w:rsidR="00430A79" w:rsidRPr="00D56AF5">
        <w:rPr>
          <w:rFonts w:ascii="Garamond" w:hAnsi="Garamond"/>
          <w:sz w:val="24"/>
          <w:szCs w:val="24"/>
          <w:lang w:val="en-US"/>
        </w:rPr>
        <w:t xml:space="preserve"> the state where </w:t>
      </w:r>
      <w:r w:rsidR="00780931" w:rsidRPr="00D56AF5">
        <w:rPr>
          <w:rFonts w:ascii="Garamond" w:hAnsi="Garamond"/>
          <w:sz w:val="24"/>
          <w:szCs w:val="24"/>
          <w:lang w:val="en-US"/>
        </w:rPr>
        <w:t>i</w:t>
      </w:r>
      <w:r w:rsidR="00E97AF1" w:rsidRPr="00D56AF5">
        <w:rPr>
          <w:rFonts w:ascii="Garamond" w:hAnsi="Garamond"/>
          <w:sz w:val="24"/>
          <w:szCs w:val="24"/>
          <w:lang w:val="en-US"/>
        </w:rPr>
        <w:t>t</w:t>
      </w:r>
      <w:r w:rsidR="00762706" w:rsidRPr="00D56AF5">
        <w:rPr>
          <w:rFonts w:ascii="Garamond" w:hAnsi="Garamond"/>
          <w:sz w:val="24"/>
          <w:szCs w:val="24"/>
          <w:lang w:val="en-US"/>
        </w:rPr>
        <w:t>s directives</w:t>
      </w:r>
      <w:r w:rsidR="00780931" w:rsidRPr="00D56AF5">
        <w:rPr>
          <w:rFonts w:ascii="Garamond" w:hAnsi="Garamond"/>
          <w:sz w:val="24"/>
          <w:szCs w:val="24"/>
          <w:lang w:val="en-US"/>
        </w:rPr>
        <w:t xml:space="preserve"> fail the NJT condition.</w:t>
      </w:r>
      <w:r w:rsidR="00102B7C" w:rsidRPr="00D56AF5">
        <w:rPr>
          <w:rFonts w:ascii="Garamond" w:hAnsi="Garamond"/>
          <w:sz w:val="24"/>
          <w:szCs w:val="24"/>
          <w:lang w:val="en-US"/>
        </w:rPr>
        <w:t xml:space="preserve"> It may </w:t>
      </w:r>
      <w:r w:rsidR="00F96FA2">
        <w:rPr>
          <w:rFonts w:ascii="Garamond" w:hAnsi="Garamond"/>
          <w:sz w:val="24"/>
          <w:szCs w:val="24"/>
          <w:lang w:val="en-US"/>
        </w:rPr>
        <w:t xml:space="preserve">still </w:t>
      </w:r>
      <w:r w:rsidR="00102B7C" w:rsidRPr="00D56AF5">
        <w:rPr>
          <w:rFonts w:ascii="Garamond" w:hAnsi="Garamond"/>
          <w:sz w:val="24"/>
          <w:szCs w:val="24"/>
          <w:lang w:val="en-US"/>
        </w:rPr>
        <w:t xml:space="preserve">have </w:t>
      </w:r>
      <w:r w:rsidR="006B494B" w:rsidRPr="00D56AF5">
        <w:rPr>
          <w:rFonts w:ascii="Garamond" w:hAnsi="Garamond"/>
          <w:sz w:val="24"/>
          <w:szCs w:val="24"/>
          <w:lang w:val="en-US"/>
        </w:rPr>
        <w:t xml:space="preserve">the backing of enforcement </w:t>
      </w:r>
      <w:r w:rsidR="00102B7C" w:rsidRPr="00D56AF5">
        <w:rPr>
          <w:rFonts w:ascii="Garamond" w:hAnsi="Garamond"/>
          <w:sz w:val="24"/>
          <w:szCs w:val="24"/>
          <w:lang w:val="en-US"/>
        </w:rPr>
        <w:t>power, but this would just be brute force or illegi</w:t>
      </w:r>
      <w:r w:rsidR="00BF3A3D" w:rsidRPr="00D56AF5">
        <w:rPr>
          <w:rFonts w:ascii="Garamond" w:hAnsi="Garamond"/>
          <w:sz w:val="24"/>
          <w:szCs w:val="24"/>
          <w:lang w:val="en-US"/>
        </w:rPr>
        <w:t>timate authority.</w:t>
      </w:r>
      <w:r w:rsidR="00986A79" w:rsidRPr="00D56AF5">
        <w:rPr>
          <w:rFonts w:ascii="Garamond" w:hAnsi="Garamond"/>
          <w:sz w:val="24"/>
          <w:szCs w:val="24"/>
          <w:lang w:val="en-US"/>
        </w:rPr>
        <w:t xml:space="preserve"> </w:t>
      </w:r>
      <w:r w:rsidR="00D603AE" w:rsidRPr="00D56AF5">
        <w:rPr>
          <w:rFonts w:ascii="Garamond" w:hAnsi="Garamond"/>
          <w:sz w:val="24"/>
          <w:szCs w:val="24"/>
          <w:lang w:val="en-US"/>
        </w:rPr>
        <w:t>Indeed</w:t>
      </w:r>
      <w:r w:rsidR="00FE3021" w:rsidRPr="00D56AF5">
        <w:rPr>
          <w:rFonts w:ascii="Garamond" w:hAnsi="Garamond"/>
          <w:sz w:val="24"/>
          <w:szCs w:val="24"/>
          <w:lang w:val="en-US"/>
        </w:rPr>
        <w:t>,</w:t>
      </w:r>
      <w:r w:rsidR="00D603AE" w:rsidRPr="00D56AF5">
        <w:rPr>
          <w:rFonts w:ascii="Garamond" w:hAnsi="Garamond"/>
          <w:sz w:val="24"/>
          <w:szCs w:val="24"/>
          <w:lang w:val="en-US"/>
        </w:rPr>
        <w:t xml:space="preserve"> it is possible for a legitimate</w:t>
      </w:r>
      <w:r w:rsidR="003A2B93" w:rsidRPr="00D56AF5">
        <w:rPr>
          <w:rFonts w:ascii="Garamond" w:hAnsi="Garamond"/>
          <w:sz w:val="24"/>
          <w:szCs w:val="24"/>
          <w:lang w:val="en-US"/>
        </w:rPr>
        <w:t>ly</w:t>
      </w:r>
      <w:r w:rsidR="00D603AE" w:rsidRPr="00D56AF5">
        <w:rPr>
          <w:rFonts w:ascii="Garamond" w:hAnsi="Garamond"/>
          <w:sz w:val="24"/>
          <w:szCs w:val="24"/>
          <w:lang w:val="en-US"/>
        </w:rPr>
        <w:t xml:space="preserve"> constituted authority to exercise illegitimate authority when it flouts the NJT.</w:t>
      </w:r>
      <w:r w:rsidR="00D603AE" w:rsidRPr="00D56AF5">
        <w:rPr>
          <w:rStyle w:val="FootnoteReference"/>
          <w:rFonts w:ascii="Garamond" w:hAnsi="Garamond"/>
          <w:sz w:val="24"/>
          <w:szCs w:val="24"/>
          <w:lang w:val="en-US"/>
        </w:rPr>
        <w:footnoteReference w:id="95"/>
      </w:r>
      <w:r w:rsidR="00100746">
        <w:rPr>
          <w:rFonts w:ascii="Garamond" w:hAnsi="Garamond"/>
          <w:sz w:val="24"/>
          <w:szCs w:val="24"/>
          <w:lang w:val="en-US"/>
        </w:rPr>
        <w:t xml:space="preserve"> </w:t>
      </w:r>
      <w:r w:rsidR="00FF7B16">
        <w:rPr>
          <w:rFonts w:ascii="Garamond" w:hAnsi="Garamond"/>
          <w:sz w:val="24"/>
          <w:szCs w:val="24"/>
          <w:lang w:val="en-US"/>
        </w:rPr>
        <w:t>However, this</w:t>
      </w:r>
      <w:r w:rsidR="00100746">
        <w:rPr>
          <w:rFonts w:ascii="Garamond" w:hAnsi="Garamond"/>
          <w:sz w:val="24"/>
          <w:szCs w:val="24"/>
          <w:lang w:val="en-US"/>
        </w:rPr>
        <w:t xml:space="preserve"> is not to </w:t>
      </w:r>
      <w:r w:rsidR="00513F42">
        <w:rPr>
          <w:rFonts w:ascii="Garamond" w:hAnsi="Garamond"/>
          <w:sz w:val="24"/>
          <w:szCs w:val="24"/>
          <w:lang w:val="en-US"/>
        </w:rPr>
        <w:t xml:space="preserve">deny </w:t>
      </w:r>
      <w:r w:rsidR="00100746">
        <w:rPr>
          <w:rFonts w:ascii="Garamond" w:hAnsi="Garamond"/>
          <w:sz w:val="24"/>
          <w:szCs w:val="24"/>
          <w:lang w:val="en-US"/>
        </w:rPr>
        <w:t xml:space="preserve">that </w:t>
      </w:r>
      <w:r w:rsidR="00513F42">
        <w:rPr>
          <w:rFonts w:ascii="Garamond" w:hAnsi="Garamond"/>
          <w:sz w:val="24"/>
          <w:szCs w:val="24"/>
          <w:lang w:val="en-US"/>
        </w:rPr>
        <w:t xml:space="preserve">the legitimacy of an authority may have to be supplemented by </w:t>
      </w:r>
      <w:r w:rsidR="00853859" w:rsidRPr="00C70826">
        <w:rPr>
          <w:rFonts w:ascii="Garamond" w:hAnsi="Garamond"/>
          <w:sz w:val="24"/>
          <w:szCs w:val="24"/>
          <w:lang w:val="en-US"/>
        </w:rPr>
        <w:t>other normative</w:t>
      </w:r>
      <w:r w:rsidR="009A45AE">
        <w:rPr>
          <w:rFonts w:ascii="Garamond" w:hAnsi="Garamond"/>
          <w:sz w:val="24"/>
          <w:szCs w:val="24"/>
          <w:lang w:val="en-US"/>
        </w:rPr>
        <w:t>, including moral,</w:t>
      </w:r>
      <w:r w:rsidR="000E1746" w:rsidRPr="00C70826">
        <w:rPr>
          <w:rFonts w:ascii="Garamond" w:hAnsi="Garamond"/>
          <w:sz w:val="24"/>
          <w:szCs w:val="24"/>
          <w:lang w:val="en-US"/>
        </w:rPr>
        <w:t xml:space="preserve"> </w:t>
      </w:r>
      <w:r w:rsidR="00853859" w:rsidRPr="00C70826">
        <w:rPr>
          <w:rFonts w:ascii="Garamond" w:hAnsi="Garamond"/>
          <w:sz w:val="24"/>
          <w:szCs w:val="24"/>
          <w:lang w:val="en-US"/>
        </w:rPr>
        <w:t>reasons</w:t>
      </w:r>
      <w:r w:rsidR="004D0FF4">
        <w:rPr>
          <w:rFonts w:ascii="Garamond" w:hAnsi="Garamond"/>
          <w:sz w:val="24"/>
          <w:szCs w:val="24"/>
          <w:lang w:val="en-US"/>
        </w:rPr>
        <w:t>,</w:t>
      </w:r>
      <w:r w:rsidR="00513F42">
        <w:rPr>
          <w:rFonts w:ascii="Garamond" w:hAnsi="Garamond"/>
          <w:sz w:val="24"/>
          <w:szCs w:val="24"/>
          <w:lang w:val="en-US"/>
        </w:rPr>
        <w:t xml:space="preserve"> aside from the </w:t>
      </w:r>
      <w:r w:rsidR="007730E7">
        <w:rPr>
          <w:rFonts w:ascii="Garamond" w:hAnsi="Garamond"/>
          <w:sz w:val="24"/>
          <w:szCs w:val="24"/>
          <w:lang w:val="en-US"/>
        </w:rPr>
        <w:t>satisfaction of the NJT condition</w:t>
      </w:r>
      <w:r w:rsidR="00853859" w:rsidRPr="00D56AF5">
        <w:rPr>
          <w:rFonts w:ascii="Garamond" w:hAnsi="Garamond"/>
          <w:sz w:val="24"/>
          <w:szCs w:val="24"/>
          <w:lang w:val="en-US"/>
        </w:rPr>
        <w:t>.</w:t>
      </w:r>
      <w:r w:rsidR="00853859" w:rsidRPr="00D56AF5">
        <w:rPr>
          <w:rStyle w:val="FootnoteReference"/>
          <w:rFonts w:ascii="Garamond" w:hAnsi="Garamond"/>
          <w:sz w:val="24"/>
          <w:szCs w:val="24"/>
          <w:lang w:val="en-US"/>
        </w:rPr>
        <w:footnoteReference w:id="96"/>
      </w:r>
      <w:r w:rsidR="00853859" w:rsidRPr="00D56AF5">
        <w:rPr>
          <w:rFonts w:ascii="Garamond" w:hAnsi="Garamond"/>
          <w:sz w:val="24"/>
          <w:szCs w:val="24"/>
          <w:lang w:val="en-US"/>
        </w:rPr>
        <w:t xml:space="preserve"> </w:t>
      </w:r>
    </w:p>
    <w:p w14:paraId="5AF3A59F" w14:textId="169F6A1F" w:rsidR="00AC51BA" w:rsidRPr="008A4BF9" w:rsidRDefault="00843E47"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Besson offers a robust account </w:t>
      </w:r>
      <w:r w:rsidR="00B35967" w:rsidRPr="00D56AF5">
        <w:rPr>
          <w:rFonts w:ascii="Garamond" w:hAnsi="Garamond"/>
          <w:sz w:val="24"/>
          <w:szCs w:val="24"/>
          <w:lang w:val="en-US"/>
        </w:rPr>
        <w:t>of</w:t>
      </w:r>
      <w:r w:rsidR="00FC77C0" w:rsidRPr="00D56AF5">
        <w:rPr>
          <w:rFonts w:ascii="Garamond" w:hAnsi="Garamond"/>
          <w:sz w:val="24"/>
          <w:szCs w:val="24"/>
          <w:lang w:val="en-US"/>
        </w:rPr>
        <w:t xml:space="preserve"> a</w:t>
      </w:r>
      <w:r w:rsidR="00B35967" w:rsidRPr="00D56AF5">
        <w:rPr>
          <w:rFonts w:ascii="Garamond" w:hAnsi="Garamond"/>
          <w:sz w:val="24"/>
          <w:szCs w:val="24"/>
          <w:lang w:val="en-US"/>
        </w:rPr>
        <w:t xml:space="preserve"> modified </w:t>
      </w:r>
      <w:proofErr w:type="spellStart"/>
      <w:r w:rsidR="00B35967" w:rsidRPr="00D56AF5">
        <w:rPr>
          <w:rFonts w:ascii="Garamond" w:hAnsi="Garamond"/>
          <w:sz w:val="24"/>
          <w:szCs w:val="24"/>
          <w:lang w:val="en-US"/>
        </w:rPr>
        <w:t>Razian</w:t>
      </w:r>
      <w:proofErr w:type="spellEnd"/>
      <w:r w:rsidR="00B35967" w:rsidRPr="00D56AF5">
        <w:rPr>
          <w:rFonts w:ascii="Garamond" w:hAnsi="Garamond"/>
          <w:sz w:val="24"/>
          <w:szCs w:val="24"/>
          <w:lang w:val="en-US"/>
        </w:rPr>
        <w:t xml:space="preserve"> service conception that encompasses democratic coordination among states</w:t>
      </w:r>
      <w:r w:rsidR="00BD02A2">
        <w:rPr>
          <w:rFonts w:ascii="Garamond" w:hAnsi="Garamond"/>
          <w:sz w:val="24"/>
          <w:szCs w:val="24"/>
          <w:lang w:val="en-US"/>
        </w:rPr>
        <w:t xml:space="preserve"> on issues of common concern,</w:t>
      </w:r>
      <w:r w:rsidR="00B35967" w:rsidRPr="00D56AF5">
        <w:rPr>
          <w:rFonts w:ascii="Garamond" w:hAnsi="Garamond"/>
          <w:sz w:val="24"/>
          <w:szCs w:val="24"/>
          <w:lang w:val="en-US"/>
        </w:rPr>
        <w:t xml:space="preserve"> as </w:t>
      </w:r>
      <w:r w:rsidR="00094991" w:rsidRPr="00D56AF5">
        <w:rPr>
          <w:rFonts w:ascii="Garamond" w:hAnsi="Garamond"/>
          <w:sz w:val="24"/>
          <w:szCs w:val="24"/>
          <w:lang w:val="en-US"/>
        </w:rPr>
        <w:t>one of the foremost</w:t>
      </w:r>
      <w:r w:rsidR="00B35967" w:rsidRPr="00D56AF5">
        <w:rPr>
          <w:rFonts w:ascii="Garamond" w:hAnsi="Garamond"/>
          <w:sz w:val="24"/>
          <w:szCs w:val="24"/>
          <w:lang w:val="en-US"/>
        </w:rPr>
        <w:t xml:space="preserve"> ground</w:t>
      </w:r>
      <w:r w:rsidR="00094991" w:rsidRPr="00D56AF5">
        <w:rPr>
          <w:rFonts w:ascii="Garamond" w:hAnsi="Garamond"/>
          <w:sz w:val="24"/>
          <w:szCs w:val="24"/>
          <w:lang w:val="en-US"/>
        </w:rPr>
        <w:t>s</w:t>
      </w:r>
      <w:r w:rsidR="00B35967" w:rsidRPr="00D56AF5">
        <w:rPr>
          <w:rFonts w:ascii="Garamond" w:hAnsi="Garamond"/>
          <w:sz w:val="24"/>
          <w:szCs w:val="24"/>
          <w:lang w:val="en-US"/>
        </w:rPr>
        <w:t xml:space="preserve"> </w:t>
      </w:r>
      <w:r w:rsidR="00094991" w:rsidRPr="00D56AF5">
        <w:rPr>
          <w:rFonts w:ascii="Garamond" w:hAnsi="Garamond"/>
          <w:sz w:val="24"/>
          <w:szCs w:val="24"/>
          <w:lang w:val="en-US"/>
        </w:rPr>
        <w:t xml:space="preserve">of </w:t>
      </w:r>
      <w:r w:rsidR="00B35967" w:rsidRPr="00D56AF5">
        <w:rPr>
          <w:rFonts w:ascii="Garamond" w:hAnsi="Garamond"/>
          <w:sz w:val="24"/>
          <w:szCs w:val="24"/>
          <w:lang w:val="en-US"/>
        </w:rPr>
        <w:t xml:space="preserve">justification </w:t>
      </w:r>
      <w:r w:rsidR="00096A77" w:rsidRPr="00D56AF5">
        <w:rPr>
          <w:rFonts w:ascii="Garamond" w:hAnsi="Garamond"/>
          <w:sz w:val="24"/>
          <w:szCs w:val="24"/>
          <w:lang w:val="en-US"/>
        </w:rPr>
        <w:t xml:space="preserve">for </w:t>
      </w:r>
      <w:r w:rsidR="00B35967" w:rsidRPr="00D56AF5">
        <w:rPr>
          <w:rFonts w:ascii="Garamond" w:hAnsi="Garamond"/>
          <w:sz w:val="24"/>
          <w:szCs w:val="24"/>
          <w:lang w:val="en-US"/>
        </w:rPr>
        <w:t>international law’s authority</w:t>
      </w:r>
      <w:r w:rsidR="001E0840">
        <w:rPr>
          <w:rFonts w:ascii="Garamond" w:hAnsi="Garamond"/>
          <w:sz w:val="24"/>
          <w:szCs w:val="24"/>
          <w:lang w:val="en-US"/>
        </w:rPr>
        <w:t>. Democratic coordination is considered intrinsically valuable for respecting ‘basic political equality’</w:t>
      </w:r>
      <w:r w:rsidR="00B35967" w:rsidRPr="00D56AF5">
        <w:rPr>
          <w:rFonts w:ascii="Garamond" w:hAnsi="Garamond"/>
          <w:sz w:val="24"/>
          <w:szCs w:val="24"/>
          <w:lang w:val="en-US"/>
        </w:rPr>
        <w:t>.</w:t>
      </w:r>
      <w:r w:rsidR="00B35967" w:rsidRPr="00D56AF5">
        <w:rPr>
          <w:rStyle w:val="FootnoteReference"/>
          <w:rFonts w:ascii="Garamond" w:hAnsi="Garamond"/>
          <w:sz w:val="24"/>
          <w:szCs w:val="24"/>
          <w:lang w:val="en-US"/>
        </w:rPr>
        <w:footnoteReference w:id="97"/>
      </w:r>
      <w:r w:rsidR="00596826" w:rsidRPr="00D56AF5">
        <w:rPr>
          <w:rFonts w:ascii="Garamond" w:hAnsi="Garamond"/>
          <w:sz w:val="24"/>
          <w:szCs w:val="24"/>
          <w:lang w:val="en-US"/>
        </w:rPr>
        <w:t xml:space="preserve"> </w:t>
      </w:r>
      <w:r w:rsidR="00B0529A" w:rsidRPr="00D56AF5">
        <w:rPr>
          <w:rFonts w:ascii="Garamond" w:hAnsi="Garamond"/>
          <w:sz w:val="24"/>
          <w:szCs w:val="24"/>
          <w:lang w:val="en-US"/>
        </w:rPr>
        <w:t xml:space="preserve">Besson argues that </w:t>
      </w:r>
      <w:r w:rsidR="00827E77" w:rsidRPr="00D56AF5">
        <w:rPr>
          <w:rFonts w:ascii="Garamond" w:hAnsi="Garamond"/>
          <w:sz w:val="24"/>
          <w:szCs w:val="24"/>
          <w:lang w:val="en-US"/>
        </w:rPr>
        <w:t>international law</w:t>
      </w:r>
      <w:r w:rsidR="0096362E" w:rsidRPr="00D56AF5">
        <w:rPr>
          <w:rFonts w:ascii="Garamond" w:hAnsi="Garamond"/>
          <w:sz w:val="24"/>
          <w:szCs w:val="24"/>
          <w:lang w:val="en-US"/>
        </w:rPr>
        <w:t xml:space="preserve"> may be recognized for its</w:t>
      </w:r>
      <w:r w:rsidR="00827E77" w:rsidRPr="00D56AF5">
        <w:rPr>
          <w:rFonts w:ascii="Garamond" w:hAnsi="Garamond"/>
          <w:sz w:val="24"/>
          <w:szCs w:val="24"/>
          <w:lang w:val="en-US"/>
        </w:rPr>
        <w:t xml:space="preserve"> coordinative </w:t>
      </w:r>
      <w:r w:rsidR="00A11CA3" w:rsidRPr="00D56AF5">
        <w:rPr>
          <w:rFonts w:ascii="Garamond" w:hAnsi="Garamond"/>
          <w:sz w:val="24"/>
          <w:szCs w:val="24"/>
          <w:lang w:val="en-US"/>
        </w:rPr>
        <w:t xml:space="preserve">function </w:t>
      </w:r>
      <w:r w:rsidR="0096362E" w:rsidRPr="00D56AF5">
        <w:rPr>
          <w:rFonts w:ascii="Garamond" w:hAnsi="Garamond"/>
          <w:sz w:val="24"/>
          <w:szCs w:val="24"/>
          <w:lang w:val="en-US"/>
        </w:rPr>
        <w:t xml:space="preserve">before </w:t>
      </w:r>
      <w:r w:rsidR="001F64AC" w:rsidRPr="00D56AF5">
        <w:rPr>
          <w:rFonts w:ascii="Garamond" w:hAnsi="Garamond"/>
          <w:sz w:val="24"/>
          <w:szCs w:val="24"/>
          <w:lang w:val="en-US"/>
        </w:rPr>
        <w:t xml:space="preserve">it issues any directives that </w:t>
      </w:r>
      <w:r w:rsidR="00421133" w:rsidRPr="00D56AF5">
        <w:rPr>
          <w:rFonts w:ascii="Garamond" w:hAnsi="Garamond"/>
          <w:sz w:val="24"/>
          <w:szCs w:val="24"/>
          <w:lang w:val="en-US"/>
        </w:rPr>
        <w:t xml:space="preserve">substantively meet conditions for legitimacy. However, this still </w:t>
      </w:r>
      <w:r w:rsidR="002B7D74">
        <w:rPr>
          <w:rFonts w:ascii="Garamond" w:hAnsi="Garamond"/>
          <w:sz w:val="24"/>
          <w:szCs w:val="24"/>
          <w:lang w:val="en-US"/>
        </w:rPr>
        <w:t>meets</w:t>
      </w:r>
      <w:r w:rsidR="00421133" w:rsidRPr="00D56AF5">
        <w:rPr>
          <w:rFonts w:ascii="Garamond" w:hAnsi="Garamond"/>
          <w:sz w:val="24"/>
          <w:szCs w:val="24"/>
          <w:lang w:val="en-US"/>
        </w:rPr>
        <w:t xml:space="preserve"> the NJT </w:t>
      </w:r>
      <w:r w:rsidR="00582315" w:rsidRPr="00D56AF5">
        <w:rPr>
          <w:rFonts w:ascii="Garamond" w:hAnsi="Garamond"/>
          <w:sz w:val="24"/>
          <w:szCs w:val="24"/>
          <w:lang w:val="en-US"/>
        </w:rPr>
        <w:t>condition because the justif</w:t>
      </w:r>
      <w:r w:rsidR="00582315" w:rsidRPr="008A4BF9">
        <w:rPr>
          <w:rFonts w:ascii="Garamond" w:hAnsi="Garamond"/>
          <w:sz w:val="24"/>
          <w:szCs w:val="24"/>
          <w:lang w:val="en-US"/>
        </w:rPr>
        <w:t xml:space="preserve">ication of authority </w:t>
      </w:r>
      <w:r w:rsidR="009B3D29" w:rsidRPr="008A4BF9">
        <w:rPr>
          <w:rFonts w:ascii="Garamond" w:hAnsi="Garamond"/>
          <w:sz w:val="24"/>
          <w:szCs w:val="24"/>
          <w:lang w:val="en-US"/>
        </w:rPr>
        <w:t xml:space="preserve">for </w:t>
      </w:r>
      <w:proofErr w:type="gramStart"/>
      <w:r w:rsidR="009B3D29" w:rsidRPr="008A4BF9">
        <w:rPr>
          <w:rFonts w:ascii="Garamond" w:hAnsi="Garamond"/>
          <w:sz w:val="24"/>
          <w:szCs w:val="24"/>
          <w:lang w:val="en-US"/>
        </w:rPr>
        <w:t>a large number of</w:t>
      </w:r>
      <w:proofErr w:type="gramEnd"/>
      <w:r w:rsidR="009B3D29" w:rsidRPr="008A4BF9">
        <w:rPr>
          <w:rFonts w:ascii="Garamond" w:hAnsi="Garamond"/>
          <w:sz w:val="24"/>
          <w:szCs w:val="24"/>
          <w:lang w:val="en-US"/>
        </w:rPr>
        <w:t xml:space="preserve"> people</w:t>
      </w:r>
      <w:r w:rsidR="004D0FF4">
        <w:rPr>
          <w:rFonts w:ascii="Garamond" w:hAnsi="Garamond"/>
          <w:sz w:val="24"/>
          <w:szCs w:val="24"/>
          <w:lang w:val="en-US"/>
        </w:rPr>
        <w:t xml:space="preserve"> (or states)</w:t>
      </w:r>
      <w:r w:rsidR="009B3D29" w:rsidRPr="008A4BF9">
        <w:rPr>
          <w:rFonts w:ascii="Garamond" w:hAnsi="Garamond"/>
          <w:sz w:val="24"/>
          <w:szCs w:val="24"/>
          <w:lang w:val="en-US"/>
        </w:rPr>
        <w:t xml:space="preserve"> is distinguishable from a situation where the NJT applies to one individual</w:t>
      </w:r>
      <w:r w:rsidR="004D0FF4">
        <w:rPr>
          <w:rFonts w:ascii="Garamond" w:hAnsi="Garamond"/>
          <w:sz w:val="24"/>
          <w:szCs w:val="24"/>
          <w:lang w:val="en-US"/>
        </w:rPr>
        <w:t xml:space="preserve"> (or state)</w:t>
      </w:r>
      <w:r w:rsidR="009B3D29" w:rsidRPr="008A4BF9">
        <w:rPr>
          <w:rFonts w:ascii="Garamond" w:hAnsi="Garamond"/>
          <w:sz w:val="24"/>
          <w:szCs w:val="24"/>
          <w:lang w:val="en-US"/>
        </w:rPr>
        <w:t xml:space="preserve">. </w:t>
      </w:r>
      <w:r w:rsidR="003E44F7" w:rsidRPr="008A4BF9">
        <w:rPr>
          <w:rFonts w:ascii="Garamond" w:hAnsi="Garamond"/>
          <w:sz w:val="24"/>
          <w:szCs w:val="24"/>
          <w:lang w:val="en-US"/>
        </w:rPr>
        <w:t xml:space="preserve">She </w:t>
      </w:r>
      <w:r w:rsidR="00DE3527" w:rsidRPr="008A4BF9">
        <w:rPr>
          <w:rFonts w:ascii="Garamond" w:hAnsi="Garamond"/>
          <w:sz w:val="24"/>
          <w:szCs w:val="24"/>
          <w:lang w:val="en-US"/>
        </w:rPr>
        <w:t xml:space="preserve">terms this an </w:t>
      </w:r>
      <w:r w:rsidR="00792DE2">
        <w:rPr>
          <w:rFonts w:ascii="Garamond" w:hAnsi="Garamond"/>
          <w:sz w:val="24"/>
          <w:szCs w:val="24"/>
          <w:lang w:val="en-US"/>
        </w:rPr>
        <w:t>‘</w:t>
      </w:r>
      <w:r w:rsidR="003E44F7" w:rsidRPr="008A4BF9">
        <w:rPr>
          <w:rFonts w:ascii="Garamond" w:hAnsi="Garamond"/>
          <w:sz w:val="24"/>
          <w:szCs w:val="24"/>
          <w:lang w:val="en-US"/>
        </w:rPr>
        <w:t>epistemic</w:t>
      </w:r>
      <w:r w:rsidR="00792DE2">
        <w:rPr>
          <w:rFonts w:ascii="Garamond" w:hAnsi="Garamond"/>
          <w:sz w:val="24"/>
          <w:szCs w:val="24"/>
          <w:lang w:val="en-US"/>
        </w:rPr>
        <w:t>’</w:t>
      </w:r>
      <w:r w:rsidR="003E44F7" w:rsidRPr="008A4BF9">
        <w:rPr>
          <w:rFonts w:ascii="Garamond" w:hAnsi="Garamond"/>
          <w:sz w:val="24"/>
          <w:szCs w:val="24"/>
          <w:lang w:val="en-US"/>
        </w:rPr>
        <w:t xml:space="preserve"> account of </w:t>
      </w:r>
      <w:r w:rsidR="003E44F7" w:rsidRPr="008A4BF9">
        <w:rPr>
          <w:rFonts w:ascii="Garamond" w:hAnsi="Garamond"/>
          <w:sz w:val="24"/>
          <w:szCs w:val="24"/>
          <w:lang w:val="en-US"/>
        </w:rPr>
        <w:lastRenderedPageBreak/>
        <w:t>democratic coordination</w:t>
      </w:r>
      <w:r w:rsidR="007D2684">
        <w:rPr>
          <w:rFonts w:ascii="Garamond" w:hAnsi="Garamond"/>
          <w:sz w:val="24"/>
          <w:szCs w:val="24"/>
          <w:lang w:val="en-US"/>
        </w:rPr>
        <w:t>, which</w:t>
      </w:r>
      <w:r w:rsidR="000F7941">
        <w:rPr>
          <w:rFonts w:ascii="Garamond" w:hAnsi="Garamond"/>
          <w:sz w:val="24"/>
          <w:szCs w:val="24"/>
          <w:lang w:val="en-US"/>
        </w:rPr>
        <w:t xml:space="preserve"> </w:t>
      </w:r>
      <w:r w:rsidR="00E519DB">
        <w:rPr>
          <w:rFonts w:ascii="Garamond" w:hAnsi="Garamond"/>
          <w:sz w:val="24"/>
          <w:szCs w:val="24"/>
          <w:lang w:val="en-US"/>
        </w:rPr>
        <w:t>incorporates</w:t>
      </w:r>
      <w:r w:rsidR="004812BF">
        <w:rPr>
          <w:rFonts w:ascii="Garamond" w:hAnsi="Garamond"/>
          <w:sz w:val="24"/>
          <w:szCs w:val="24"/>
          <w:lang w:val="en-US"/>
        </w:rPr>
        <w:t xml:space="preserve"> </w:t>
      </w:r>
      <w:r w:rsidR="0058482C">
        <w:rPr>
          <w:rFonts w:ascii="Garamond" w:hAnsi="Garamond"/>
          <w:sz w:val="24"/>
          <w:szCs w:val="24"/>
          <w:lang w:val="en-US"/>
        </w:rPr>
        <w:t>further</w:t>
      </w:r>
      <w:r w:rsidR="004812BF">
        <w:rPr>
          <w:rFonts w:ascii="Garamond" w:hAnsi="Garamond"/>
          <w:sz w:val="24"/>
          <w:szCs w:val="24"/>
          <w:lang w:val="en-US"/>
        </w:rPr>
        <w:t xml:space="preserve"> justifications </w:t>
      </w:r>
      <w:r w:rsidR="000F7941">
        <w:rPr>
          <w:rFonts w:ascii="Garamond" w:hAnsi="Garamond"/>
          <w:sz w:val="24"/>
          <w:szCs w:val="24"/>
          <w:lang w:val="en-US"/>
        </w:rPr>
        <w:t xml:space="preserve">like </w:t>
      </w:r>
      <w:r w:rsidR="004812BF">
        <w:rPr>
          <w:rFonts w:ascii="Garamond" w:hAnsi="Garamond"/>
          <w:sz w:val="24"/>
          <w:szCs w:val="24"/>
          <w:lang w:val="en-US"/>
        </w:rPr>
        <w:t>epistemic expertise and volitive ability</w:t>
      </w:r>
      <w:r w:rsidR="003E44F7" w:rsidRPr="008A4BF9">
        <w:rPr>
          <w:rFonts w:ascii="Garamond" w:hAnsi="Garamond"/>
          <w:sz w:val="24"/>
          <w:szCs w:val="24"/>
          <w:lang w:val="en-US"/>
        </w:rPr>
        <w:t>.</w:t>
      </w:r>
      <w:r w:rsidR="003E44F7" w:rsidRPr="008A4BF9">
        <w:rPr>
          <w:rStyle w:val="FootnoteReference"/>
          <w:rFonts w:ascii="Garamond" w:hAnsi="Garamond"/>
          <w:sz w:val="24"/>
          <w:szCs w:val="24"/>
          <w:lang w:val="en-US"/>
        </w:rPr>
        <w:footnoteReference w:id="98"/>
      </w:r>
    </w:p>
    <w:p w14:paraId="5F59E007" w14:textId="42E984DB" w:rsidR="00C54DE7" w:rsidRDefault="00B467B6" w:rsidP="001340AF">
      <w:pPr>
        <w:spacing w:after="120" w:line="480" w:lineRule="auto"/>
        <w:jc w:val="both"/>
        <w:rPr>
          <w:rFonts w:ascii="Garamond" w:hAnsi="Garamond"/>
          <w:sz w:val="24"/>
          <w:szCs w:val="24"/>
          <w:lang w:val="en-US"/>
        </w:rPr>
      </w:pPr>
      <w:r w:rsidRPr="008A4BF9">
        <w:rPr>
          <w:rFonts w:ascii="Garamond" w:hAnsi="Garamond"/>
          <w:sz w:val="24"/>
          <w:szCs w:val="24"/>
          <w:lang w:val="en-US"/>
        </w:rPr>
        <w:t>Th</w:t>
      </w:r>
      <w:r w:rsidR="00596826" w:rsidRPr="008A4BF9">
        <w:rPr>
          <w:rFonts w:ascii="Garamond" w:hAnsi="Garamond"/>
          <w:sz w:val="24"/>
          <w:szCs w:val="24"/>
          <w:lang w:val="en-US"/>
        </w:rPr>
        <w:t>is</w:t>
      </w:r>
      <w:r w:rsidRPr="008A4BF9">
        <w:rPr>
          <w:rFonts w:ascii="Garamond" w:hAnsi="Garamond"/>
          <w:sz w:val="24"/>
          <w:szCs w:val="24"/>
          <w:lang w:val="en-US"/>
        </w:rPr>
        <w:t xml:space="preserve"> </w:t>
      </w:r>
      <w:r w:rsidR="007719F3" w:rsidRPr="008A4BF9">
        <w:rPr>
          <w:rFonts w:ascii="Garamond" w:hAnsi="Garamond"/>
          <w:sz w:val="24"/>
          <w:szCs w:val="24"/>
          <w:lang w:val="en-US"/>
        </w:rPr>
        <w:t xml:space="preserve">version </w:t>
      </w:r>
      <w:r w:rsidR="00463747" w:rsidRPr="008A4BF9">
        <w:rPr>
          <w:rFonts w:ascii="Garamond" w:hAnsi="Garamond"/>
          <w:sz w:val="24"/>
          <w:szCs w:val="24"/>
          <w:lang w:val="en-US"/>
        </w:rPr>
        <w:t xml:space="preserve">resonates with </w:t>
      </w:r>
      <w:r w:rsidR="001642FE" w:rsidRPr="008A4BF9">
        <w:rPr>
          <w:rFonts w:ascii="Garamond" w:hAnsi="Garamond"/>
          <w:sz w:val="24"/>
          <w:szCs w:val="24"/>
          <w:lang w:val="en-US"/>
        </w:rPr>
        <w:t>the normative role</w:t>
      </w:r>
      <w:r w:rsidR="00596826" w:rsidRPr="008A4BF9">
        <w:rPr>
          <w:rFonts w:ascii="Garamond" w:hAnsi="Garamond"/>
          <w:sz w:val="24"/>
          <w:szCs w:val="24"/>
          <w:lang w:val="en-US"/>
        </w:rPr>
        <w:t xml:space="preserve"> of</w:t>
      </w:r>
      <w:r w:rsidR="00352CC4" w:rsidRPr="008A4BF9">
        <w:rPr>
          <w:rFonts w:ascii="Garamond" w:hAnsi="Garamond"/>
          <w:sz w:val="24"/>
          <w:szCs w:val="24"/>
          <w:lang w:val="en-US"/>
        </w:rPr>
        <w:t xml:space="preserve"> external</w:t>
      </w:r>
      <w:r w:rsidR="00596826" w:rsidRPr="008A4BF9">
        <w:rPr>
          <w:rFonts w:ascii="Garamond" w:hAnsi="Garamond"/>
          <w:sz w:val="24"/>
          <w:szCs w:val="24"/>
          <w:lang w:val="en-US"/>
        </w:rPr>
        <w:t xml:space="preserve"> sovereignty in the international sphere </w:t>
      </w:r>
      <w:r w:rsidR="00D67404" w:rsidRPr="008A4BF9">
        <w:rPr>
          <w:rFonts w:ascii="Garamond" w:hAnsi="Garamond"/>
          <w:sz w:val="24"/>
          <w:szCs w:val="24"/>
          <w:lang w:val="en-US"/>
        </w:rPr>
        <w:t>–</w:t>
      </w:r>
      <w:r w:rsidR="00596826" w:rsidRPr="008A4BF9">
        <w:rPr>
          <w:rFonts w:ascii="Garamond" w:hAnsi="Garamond"/>
          <w:sz w:val="24"/>
          <w:szCs w:val="24"/>
          <w:lang w:val="en-US"/>
        </w:rPr>
        <w:t xml:space="preserve"> </w:t>
      </w:r>
      <w:r w:rsidR="00D67404" w:rsidRPr="008A4BF9">
        <w:rPr>
          <w:rFonts w:ascii="Garamond" w:hAnsi="Garamond"/>
          <w:sz w:val="24"/>
          <w:szCs w:val="24"/>
          <w:lang w:val="en-US"/>
        </w:rPr>
        <w:t xml:space="preserve">ensuring </w:t>
      </w:r>
      <w:r w:rsidR="007D7D43" w:rsidRPr="00D56AF5">
        <w:rPr>
          <w:rFonts w:ascii="Garamond" w:hAnsi="Garamond"/>
          <w:sz w:val="24"/>
          <w:szCs w:val="24"/>
          <w:lang w:val="en-US"/>
        </w:rPr>
        <w:t>equality</w:t>
      </w:r>
      <w:r w:rsidR="007D7D43">
        <w:rPr>
          <w:rFonts w:ascii="Garamond" w:hAnsi="Garamond"/>
          <w:sz w:val="24"/>
          <w:szCs w:val="24"/>
          <w:lang w:val="en-US"/>
        </w:rPr>
        <w:t>,</w:t>
      </w:r>
      <w:r w:rsidR="007D7D43" w:rsidRPr="00D56AF5">
        <w:rPr>
          <w:rStyle w:val="FootnoteReference"/>
          <w:rFonts w:ascii="Garamond" w:hAnsi="Garamond"/>
          <w:sz w:val="24"/>
          <w:szCs w:val="24"/>
          <w:lang w:val="en-US"/>
        </w:rPr>
        <w:footnoteReference w:id="99"/>
      </w:r>
      <w:r w:rsidR="007D7D43">
        <w:rPr>
          <w:rFonts w:ascii="Garamond" w:hAnsi="Garamond"/>
          <w:sz w:val="24"/>
          <w:szCs w:val="24"/>
          <w:lang w:val="en-US"/>
        </w:rPr>
        <w:t xml:space="preserve"> </w:t>
      </w:r>
      <w:r w:rsidR="00D67404" w:rsidRPr="008A4BF9">
        <w:rPr>
          <w:rFonts w:ascii="Garamond" w:hAnsi="Garamond"/>
          <w:sz w:val="24"/>
          <w:szCs w:val="24"/>
          <w:lang w:val="en-US"/>
        </w:rPr>
        <w:t>peaceful coexistence</w:t>
      </w:r>
      <w:r w:rsidR="00BA7F91">
        <w:rPr>
          <w:rFonts w:ascii="Garamond" w:hAnsi="Garamond"/>
          <w:sz w:val="24"/>
          <w:szCs w:val="24"/>
          <w:lang w:val="en-US"/>
        </w:rPr>
        <w:t>,</w:t>
      </w:r>
      <w:r w:rsidR="00D67404" w:rsidRPr="008A4BF9">
        <w:rPr>
          <w:rFonts w:ascii="Garamond" w:hAnsi="Garamond"/>
          <w:sz w:val="24"/>
          <w:szCs w:val="24"/>
          <w:lang w:val="en-US"/>
        </w:rPr>
        <w:t xml:space="preserve"> and cooperation</w:t>
      </w:r>
      <w:r w:rsidR="00BA7F91">
        <w:rPr>
          <w:rFonts w:ascii="Garamond" w:hAnsi="Garamond"/>
          <w:sz w:val="24"/>
          <w:szCs w:val="24"/>
          <w:lang w:val="en-US"/>
        </w:rPr>
        <w:t>,</w:t>
      </w:r>
      <w:r w:rsidR="00D67404" w:rsidRPr="008A4BF9">
        <w:rPr>
          <w:rFonts w:ascii="Garamond" w:hAnsi="Garamond"/>
          <w:sz w:val="24"/>
          <w:szCs w:val="24"/>
          <w:lang w:val="en-US"/>
        </w:rPr>
        <w:t xml:space="preserve"> in a world where states are marked by significant disparities in size, power and resource</w:t>
      </w:r>
      <w:r w:rsidR="00425A3F">
        <w:rPr>
          <w:rFonts w:ascii="Garamond" w:hAnsi="Garamond"/>
          <w:sz w:val="24"/>
          <w:szCs w:val="24"/>
          <w:lang w:val="en-US"/>
        </w:rPr>
        <w:t>s</w:t>
      </w:r>
      <w:r w:rsidR="007D7D43">
        <w:rPr>
          <w:rFonts w:ascii="Garamond" w:hAnsi="Garamond"/>
          <w:sz w:val="24"/>
          <w:szCs w:val="24"/>
          <w:lang w:val="en-US"/>
        </w:rPr>
        <w:t>.</w:t>
      </w:r>
      <w:r w:rsidR="00D67404" w:rsidRPr="008A4BF9">
        <w:rPr>
          <w:rStyle w:val="FootnoteReference"/>
          <w:rFonts w:ascii="Garamond" w:hAnsi="Garamond"/>
          <w:sz w:val="24"/>
          <w:szCs w:val="24"/>
          <w:lang w:val="en-US"/>
        </w:rPr>
        <w:footnoteReference w:id="100"/>
      </w:r>
      <w:r w:rsidR="007E716E" w:rsidRPr="008A4BF9">
        <w:rPr>
          <w:rFonts w:ascii="Garamond" w:hAnsi="Garamond"/>
          <w:sz w:val="24"/>
          <w:szCs w:val="24"/>
          <w:lang w:val="en-US"/>
        </w:rPr>
        <w:t xml:space="preserve"> </w:t>
      </w:r>
      <w:r w:rsidR="00BB558D">
        <w:rPr>
          <w:rFonts w:ascii="Garamond" w:hAnsi="Garamond"/>
          <w:sz w:val="24"/>
          <w:szCs w:val="24"/>
          <w:lang w:val="en-US"/>
        </w:rPr>
        <w:t xml:space="preserve">Judge </w:t>
      </w:r>
      <w:proofErr w:type="spellStart"/>
      <w:r w:rsidR="00BB558D">
        <w:rPr>
          <w:rFonts w:ascii="Garamond" w:hAnsi="Garamond"/>
          <w:sz w:val="24"/>
          <w:szCs w:val="24"/>
          <w:lang w:val="en-US"/>
        </w:rPr>
        <w:t>Shahabuddeen</w:t>
      </w:r>
      <w:proofErr w:type="spellEnd"/>
      <w:r w:rsidR="00BB558D">
        <w:rPr>
          <w:rFonts w:ascii="Garamond" w:hAnsi="Garamond"/>
          <w:sz w:val="24"/>
          <w:szCs w:val="24"/>
          <w:lang w:val="en-US"/>
        </w:rPr>
        <w:t xml:space="preserve"> </w:t>
      </w:r>
      <w:r w:rsidR="00496EB0">
        <w:rPr>
          <w:rFonts w:ascii="Garamond" w:hAnsi="Garamond"/>
          <w:sz w:val="24"/>
          <w:szCs w:val="24"/>
          <w:lang w:val="en-US"/>
        </w:rPr>
        <w:t xml:space="preserve">noted </w:t>
      </w:r>
      <w:r w:rsidR="0079686B">
        <w:rPr>
          <w:rFonts w:ascii="Garamond" w:hAnsi="Garamond"/>
          <w:sz w:val="24"/>
          <w:szCs w:val="24"/>
          <w:lang w:val="en-US"/>
        </w:rPr>
        <w:t xml:space="preserve">that </w:t>
      </w:r>
      <w:r w:rsidR="00496EB0">
        <w:rPr>
          <w:rFonts w:ascii="Garamond" w:hAnsi="Garamond"/>
          <w:sz w:val="24"/>
          <w:szCs w:val="24"/>
          <w:lang w:val="en-US"/>
        </w:rPr>
        <w:t>external sovereignty</w:t>
      </w:r>
      <w:r w:rsidR="00BD1855">
        <w:rPr>
          <w:rFonts w:ascii="Garamond" w:hAnsi="Garamond"/>
          <w:sz w:val="24"/>
          <w:szCs w:val="24"/>
          <w:lang w:val="en-US"/>
        </w:rPr>
        <w:t xml:space="preserve">’s cooperative function </w:t>
      </w:r>
      <w:r w:rsidR="0079686B">
        <w:rPr>
          <w:rFonts w:ascii="Garamond" w:hAnsi="Garamond"/>
          <w:sz w:val="24"/>
          <w:szCs w:val="24"/>
          <w:lang w:val="en-US"/>
        </w:rPr>
        <w:t xml:space="preserve">is prudentially justified </w:t>
      </w:r>
      <w:r w:rsidR="000D6C60">
        <w:rPr>
          <w:rFonts w:ascii="Garamond" w:hAnsi="Garamond"/>
          <w:sz w:val="24"/>
          <w:szCs w:val="24"/>
          <w:lang w:val="en-US"/>
        </w:rPr>
        <w:t xml:space="preserve">by </w:t>
      </w:r>
      <w:r w:rsidR="000D4BF8">
        <w:rPr>
          <w:rFonts w:ascii="Garamond" w:hAnsi="Garamond"/>
          <w:sz w:val="24"/>
          <w:szCs w:val="24"/>
          <w:lang w:val="en-US"/>
        </w:rPr>
        <w:t xml:space="preserve">the </w:t>
      </w:r>
      <w:r w:rsidR="00301FCF">
        <w:rPr>
          <w:rFonts w:ascii="Garamond" w:hAnsi="Garamond"/>
          <w:sz w:val="24"/>
          <w:szCs w:val="24"/>
          <w:lang w:val="en-US"/>
        </w:rPr>
        <w:t xml:space="preserve">existence </w:t>
      </w:r>
      <w:r w:rsidR="00BC7E47">
        <w:rPr>
          <w:rFonts w:ascii="Garamond" w:hAnsi="Garamond"/>
          <w:sz w:val="24"/>
          <w:szCs w:val="24"/>
          <w:lang w:val="en-US"/>
        </w:rPr>
        <w:t>of sovereign states</w:t>
      </w:r>
      <w:r w:rsidR="004C68FC">
        <w:rPr>
          <w:rFonts w:ascii="Garamond" w:hAnsi="Garamond"/>
          <w:sz w:val="24"/>
          <w:szCs w:val="24"/>
          <w:lang w:val="en-US"/>
        </w:rPr>
        <w:t xml:space="preserve"> next to each other</w:t>
      </w:r>
      <w:r w:rsidR="00BC7E47">
        <w:rPr>
          <w:rFonts w:ascii="Garamond" w:hAnsi="Garamond"/>
          <w:sz w:val="24"/>
          <w:szCs w:val="24"/>
          <w:lang w:val="en-US"/>
        </w:rPr>
        <w:t xml:space="preserve"> </w:t>
      </w:r>
      <w:r w:rsidR="004C68FC">
        <w:rPr>
          <w:rFonts w:ascii="Garamond" w:hAnsi="Garamond"/>
          <w:sz w:val="24"/>
          <w:szCs w:val="24"/>
          <w:lang w:val="en-US"/>
        </w:rPr>
        <w:t xml:space="preserve">as </w:t>
      </w:r>
      <w:r w:rsidR="004C68FC" w:rsidRPr="00F30E05">
        <w:rPr>
          <w:rFonts w:ascii="Garamond" w:hAnsi="Garamond"/>
          <w:sz w:val="24"/>
          <w:szCs w:val="24"/>
        </w:rPr>
        <w:t>‘</w:t>
      </w:r>
      <w:r w:rsidR="004C68FC">
        <w:rPr>
          <w:rFonts w:ascii="Garamond" w:hAnsi="Garamond"/>
          <w:sz w:val="24"/>
          <w:szCs w:val="24"/>
        </w:rPr>
        <w:t>c</w:t>
      </w:r>
      <w:r w:rsidR="004C68FC" w:rsidRPr="00F30E05">
        <w:rPr>
          <w:rFonts w:ascii="Garamond" w:hAnsi="Garamond"/>
          <w:sz w:val="24"/>
          <w:szCs w:val="24"/>
        </w:rPr>
        <w:t xml:space="preserve">o-existing independent </w:t>
      </w:r>
      <w:proofErr w:type="gramStart"/>
      <w:r w:rsidR="004C68FC" w:rsidRPr="00F30E05">
        <w:rPr>
          <w:rFonts w:ascii="Garamond" w:hAnsi="Garamond"/>
          <w:sz w:val="24"/>
          <w:szCs w:val="24"/>
        </w:rPr>
        <w:t>communities’</w:t>
      </w:r>
      <w:proofErr w:type="gramEnd"/>
      <w:r w:rsidR="004C68FC">
        <w:rPr>
          <w:rFonts w:ascii="Garamond" w:hAnsi="Garamond"/>
          <w:sz w:val="24"/>
          <w:szCs w:val="24"/>
        </w:rPr>
        <w:t>.</w:t>
      </w:r>
      <w:r w:rsidR="007D2778">
        <w:rPr>
          <w:rFonts w:ascii="Garamond" w:hAnsi="Garamond"/>
          <w:sz w:val="24"/>
          <w:szCs w:val="24"/>
        </w:rPr>
        <w:t xml:space="preserve"> But </w:t>
      </w:r>
      <w:r w:rsidR="000D4BF8">
        <w:rPr>
          <w:rFonts w:ascii="Garamond" w:hAnsi="Garamond"/>
          <w:sz w:val="24"/>
          <w:szCs w:val="24"/>
        </w:rPr>
        <w:t xml:space="preserve">he also </w:t>
      </w:r>
      <w:r w:rsidR="00723D5E">
        <w:rPr>
          <w:rFonts w:ascii="Garamond" w:hAnsi="Garamond"/>
          <w:sz w:val="24"/>
          <w:szCs w:val="24"/>
        </w:rPr>
        <w:t>implied</w:t>
      </w:r>
      <w:r w:rsidR="000D4BF8">
        <w:rPr>
          <w:rFonts w:ascii="Garamond" w:hAnsi="Garamond"/>
          <w:sz w:val="24"/>
          <w:szCs w:val="24"/>
        </w:rPr>
        <w:t xml:space="preserve"> </w:t>
      </w:r>
      <w:r w:rsidR="00992D1C">
        <w:rPr>
          <w:rFonts w:ascii="Garamond" w:hAnsi="Garamond"/>
          <w:sz w:val="24"/>
          <w:szCs w:val="24"/>
        </w:rPr>
        <w:t>that it is</w:t>
      </w:r>
      <w:r w:rsidR="000D4BF8">
        <w:rPr>
          <w:rFonts w:ascii="Garamond" w:hAnsi="Garamond"/>
          <w:sz w:val="24"/>
          <w:szCs w:val="24"/>
        </w:rPr>
        <w:t xml:space="preserve"> </w:t>
      </w:r>
      <w:r w:rsidR="00976BAE" w:rsidRPr="008A4BF9">
        <w:rPr>
          <w:rFonts w:ascii="Garamond" w:hAnsi="Garamond"/>
          <w:sz w:val="24"/>
          <w:szCs w:val="24"/>
          <w:lang w:val="en-US"/>
        </w:rPr>
        <w:t>moral</w:t>
      </w:r>
      <w:r w:rsidR="00992D1C">
        <w:rPr>
          <w:rFonts w:ascii="Garamond" w:hAnsi="Garamond"/>
          <w:sz w:val="24"/>
          <w:szCs w:val="24"/>
          <w:lang w:val="en-US"/>
        </w:rPr>
        <w:t>ly</w:t>
      </w:r>
      <w:r w:rsidR="000D4BF8">
        <w:rPr>
          <w:rFonts w:ascii="Garamond" w:hAnsi="Garamond"/>
          <w:sz w:val="24"/>
          <w:szCs w:val="24"/>
          <w:lang w:val="en-US"/>
        </w:rPr>
        <w:t xml:space="preserve"> </w:t>
      </w:r>
      <w:r w:rsidR="00992D1C">
        <w:rPr>
          <w:rFonts w:ascii="Garamond" w:hAnsi="Garamond"/>
          <w:sz w:val="24"/>
          <w:szCs w:val="24"/>
          <w:lang w:val="en-US"/>
        </w:rPr>
        <w:t xml:space="preserve">justified, </w:t>
      </w:r>
      <w:r w:rsidR="008305EF" w:rsidRPr="008A4BF9">
        <w:rPr>
          <w:rFonts w:ascii="Garamond" w:hAnsi="Garamond"/>
          <w:sz w:val="24"/>
          <w:szCs w:val="24"/>
          <w:lang w:val="en-US"/>
        </w:rPr>
        <w:t>generat</w:t>
      </w:r>
      <w:r w:rsidR="008305EF">
        <w:rPr>
          <w:rFonts w:ascii="Garamond" w:hAnsi="Garamond"/>
          <w:sz w:val="24"/>
          <w:szCs w:val="24"/>
          <w:lang w:val="en-US"/>
        </w:rPr>
        <w:t>ing</w:t>
      </w:r>
      <w:r w:rsidR="008305EF" w:rsidRPr="008A4BF9">
        <w:rPr>
          <w:rFonts w:ascii="Garamond" w:hAnsi="Garamond"/>
          <w:sz w:val="24"/>
          <w:szCs w:val="24"/>
          <w:lang w:val="en-US"/>
        </w:rPr>
        <w:t xml:space="preserve"> duties of respect and co-existence</w:t>
      </w:r>
      <w:r w:rsidR="00992D1C">
        <w:rPr>
          <w:rFonts w:ascii="Garamond" w:hAnsi="Garamond"/>
          <w:sz w:val="24"/>
          <w:szCs w:val="24"/>
          <w:lang w:val="en-US"/>
        </w:rPr>
        <w:t xml:space="preserve">, because </w:t>
      </w:r>
      <w:r w:rsidR="008305EF">
        <w:rPr>
          <w:rFonts w:ascii="Garamond" w:hAnsi="Garamond"/>
          <w:sz w:val="24"/>
          <w:szCs w:val="24"/>
          <w:lang w:val="en-US"/>
        </w:rPr>
        <w:t xml:space="preserve">every state has an </w:t>
      </w:r>
      <w:r w:rsidR="000D4BF8" w:rsidRPr="008A4BF9">
        <w:rPr>
          <w:rFonts w:ascii="Garamond" w:hAnsi="Garamond"/>
          <w:sz w:val="24"/>
          <w:szCs w:val="24"/>
          <w:lang w:val="en-US"/>
        </w:rPr>
        <w:t>equal moral claim to the well-being of its population</w:t>
      </w:r>
      <w:r w:rsidR="0058482C">
        <w:rPr>
          <w:rFonts w:ascii="Garamond" w:hAnsi="Garamond"/>
          <w:sz w:val="24"/>
          <w:szCs w:val="24"/>
          <w:lang w:val="en-US"/>
        </w:rPr>
        <w:t>.</w:t>
      </w:r>
      <w:r w:rsidR="00723D5E">
        <w:rPr>
          <w:rStyle w:val="FootnoteReference"/>
          <w:rFonts w:ascii="Garamond" w:hAnsi="Garamond"/>
          <w:sz w:val="24"/>
          <w:szCs w:val="24"/>
          <w:lang w:val="en-US"/>
        </w:rPr>
        <w:footnoteReference w:id="101"/>
      </w:r>
      <w:r w:rsidR="0058482C">
        <w:rPr>
          <w:rFonts w:ascii="Garamond" w:hAnsi="Garamond"/>
          <w:sz w:val="24"/>
          <w:szCs w:val="24"/>
          <w:lang w:val="en-US"/>
        </w:rPr>
        <w:t xml:space="preserve"> </w:t>
      </w:r>
      <w:r w:rsidR="00A56B87">
        <w:rPr>
          <w:rFonts w:ascii="Garamond" w:hAnsi="Garamond"/>
          <w:sz w:val="24"/>
          <w:szCs w:val="24"/>
          <w:lang w:val="en-US"/>
        </w:rPr>
        <w:t>External sovereignty</w:t>
      </w:r>
      <w:r w:rsidR="005A6A69">
        <w:rPr>
          <w:rFonts w:ascii="Garamond" w:hAnsi="Garamond"/>
          <w:sz w:val="24"/>
          <w:szCs w:val="24"/>
          <w:lang w:val="en-US"/>
        </w:rPr>
        <w:t xml:space="preserve"> </w:t>
      </w:r>
      <w:r w:rsidR="000D4BF8">
        <w:rPr>
          <w:rFonts w:ascii="Garamond" w:hAnsi="Garamond"/>
          <w:sz w:val="24"/>
          <w:szCs w:val="24"/>
          <w:lang w:val="en-US"/>
        </w:rPr>
        <w:t xml:space="preserve">thus </w:t>
      </w:r>
      <w:r w:rsidR="00901E46">
        <w:rPr>
          <w:rFonts w:ascii="Garamond" w:hAnsi="Garamond"/>
          <w:sz w:val="24"/>
          <w:szCs w:val="24"/>
          <w:lang w:val="en-US"/>
        </w:rPr>
        <w:t>aims at</w:t>
      </w:r>
      <w:r w:rsidR="00301FCF">
        <w:rPr>
          <w:rFonts w:ascii="Garamond" w:hAnsi="Garamond"/>
          <w:sz w:val="24"/>
          <w:szCs w:val="24"/>
          <w:lang w:val="en-US"/>
        </w:rPr>
        <w:t xml:space="preserve"> securing</w:t>
      </w:r>
      <w:r w:rsidR="007D7D43">
        <w:rPr>
          <w:rFonts w:ascii="Garamond" w:hAnsi="Garamond"/>
          <w:sz w:val="24"/>
          <w:szCs w:val="24"/>
          <w:lang w:val="en-US"/>
        </w:rPr>
        <w:t xml:space="preserve"> </w:t>
      </w:r>
      <w:r w:rsidR="005571EC" w:rsidRPr="00D56AF5">
        <w:rPr>
          <w:rFonts w:ascii="Garamond" w:hAnsi="Garamond"/>
          <w:sz w:val="24"/>
          <w:szCs w:val="24"/>
          <w:lang w:val="en-US"/>
        </w:rPr>
        <w:t>juridical equality, the rights inherent in full sovereignty, respect for the personality of states, territorial integrity and political independence, and the undertaking by states of international duties and obligations</w:t>
      </w:r>
      <w:r w:rsidR="00EC08B7">
        <w:rPr>
          <w:rFonts w:ascii="Garamond" w:hAnsi="Garamond"/>
          <w:sz w:val="24"/>
          <w:szCs w:val="24"/>
          <w:lang w:val="en-US"/>
        </w:rPr>
        <w:t>.</w:t>
      </w:r>
      <w:r w:rsidR="005571EC" w:rsidRPr="00D56AF5">
        <w:rPr>
          <w:rStyle w:val="FootnoteReference"/>
          <w:rFonts w:ascii="Garamond" w:hAnsi="Garamond"/>
          <w:sz w:val="24"/>
          <w:szCs w:val="24"/>
          <w:lang w:val="en-US"/>
        </w:rPr>
        <w:footnoteReference w:id="102"/>
      </w:r>
    </w:p>
    <w:p w14:paraId="280E5CFA" w14:textId="26883791" w:rsidR="000A69C0" w:rsidRDefault="00E36AF3" w:rsidP="001340AF">
      <w:pPr>
        <w:spacing w:after="120" w:line="480" w:lineRule="auto"/>
        <w:jc w:val="both"/>
        <w:rPr>
          <w:rFonts w:ascii="Garamond" w:hAnsi="Garamond"/>
          <w:sz w:val="24"/>
          <w:szCs w:val="24"/>
          <w:lang w:val="en-US"/>
        </w:rPr>
      </w:pPr>
      <w:r>
        <w:rPr>
          <w:rFonts w:ascii="Garamond" w:hAnsi="Garamond"/>
          <w:sz w:val="24"/>
          <w:szCs w:val="24"/>
          <w:lang w:val="en-US"/>
        </w:rPr>
        <w:t>In addition to accounting for international law’s authority,</w:t>
      </w:r>
      <w:r w:rsidR="00853859" w:rsidRPr="00D56AF5">
        <w:rPr>
          <w:rFonts w:ascii="Garamond" w:hAnsi="Garamond"/>
          <w:sz w:val="24"/>
          <w:szCs w:val="24"/>
          <w:lang w:val="en-US"/>
        </w:rPr>
        <w:t xml:space="preserve"> </w:t>
      </w:r>
      <w:r>
        <w:rPr>
          <w:rFonts w:ascii="Garamond" w:hAnsi="Garamond"/>
          <w:sz w:val="24"/>
          <w:szCs w:val="24"/>
          <w:lang w:val="en-US"/>
        </w:rPr>
        <w:t xml:space="preserve">the </w:t>
      </w:r>
      <w:r w:rsidR="00853859" w:rsidRPr="00D56AF5">
        <w:rPr>
          <w:rFonts w:ascii="Garamond" w:hAnsi="Garamond"/>
          <w:sz w:val="24"/>
          <w:szCs w:val="24"/>
          <w:lang w:val="en-US"/>
        </w:rPr>
        <w:t xml:space="preserve">service </w:t>
      </w:r>
      <w:r w:rsidR="00A34C36" w:rsidRPr="00D56AF5">
        <w:rPr>
          <w:rFonts w:ascii="Garamond" w:hAnsi="Garamond"/>
          <w:sz w:val="24"/>
          <w:szCs w:val="24"/>
          <w:lang w:val="en-US"/>
        </w:rPr>
        <w:t>conception</w:t>
      </w:r>
      <w:r w:rsidR="009924FA" w:rsidRPr="00D56AF5">
        <w:rPr>
          <w:rFonts w:ascii="Garamond" w:hAnsi="Garamond"/>
          <w:sz w:val="24"/>
          <w:szCs w:val="24"/>
          <w:lang w:val="en-US"/>
        </w:rPr>
        <w:t xml:space="preserve"> </w:t>
      </w:r>
      <w:r w:rsidR="00DB5767" w:rsidRPr="00D56AF5">
        <w:rPr>
          <w:rFonts w:ascii="Garamond" w:hAnsi="Garamond"/>
          <w:sz w:val="24"/>
          <w:szCs w:val="24"/>
          <w:lang w:val="en-US"/>
        </w:rPr>
        <w:t xml:space="preserve">offers answers to questions </w:t>
      </w:r>
      <w:r w:rsidR="009747B9" w:rsidRPr="00D56AF5">
        <w:rPr>
          <w:rFonts w:ascii="Garamond" w:hAnsi="Garamond"/>
          <w:sz w:val="24"/>
          <w:szCs w:val="24"/>
          <w:lang w:val="en-US"/>
        </w:rPr>
        <w:t xml:space="preserve">about the limits of sovereignty which </w:t>
      </w:r>
      <w:r w:rsidR="00DB5767" w:rsidRPr="00D56AF5">
        <w:rPr>
          <w:rFonts w:ascii="Garamond" w:hAnsi="Garamond"/>
          <w:sz w:val="24"/>
          <w:szCs w:val="24"/>
          <w:lang w:val="en-US"/>
        </w:rPr>
        <w:t>the consent-theory dodge</w:t>
      </w:r>
      <w:r w:rsidR="00723D5E">
        <w:rPr>
          <w:rFonts w:ascii="Garamond" w:hAnsi="Garamond"/>
          <w:sz w:val="24"/>
          <w:szCs w:val="24"/>
          <w:lang w:val="en-US"/>
        </w:rPr>
        <w:t>s</w:t>
      </w:r>
      <w:r w:rsidR="00DB5767" w:rsidRPr="00D56AF5">
        <w:rPr>
          <w:rFonts w:ascii="Garamond" w:hAnsi="Garamond"/>
          <w:sz w:val="24"/>
          <w:szCs w:val="24"/>
          <w:lang w:val="en-US"/>
        </w:rPr>
        <w:t>.</w:t>
      </w:r>
      <w:r w:rsidR="00E35B04" w:rsidRPr="00D56AF5">
        <w:rPr>
          <w:rFonts w:ascii="Garamond" w:hAnsi="Garamond"/>
          <w:sz w:val="24"/>
          <w:szCs w:val="24"/>
          <w:lang w:val="en-US"/>
        </w:rPr>
        <w:t xml:space="preserve"> </w:t>
      </w:r>
    </w:p>
    <w:p w14:paraId="0BB7DFD6" w14:textId="48CC3DE7" w:rsidR="000A69C0" w:rsidRPr="00D56AF5" w:rsidRDefault="000A69C0" w:rsidP="001340AF">
      <w:pPr>
        <w:spacing w:after="120" w:line="480" w:lineRule="auto"/>
        <w:jc w:val="both"/>
        <w:rPr>
          <w:rFonts w:ascii="Garamond" w:hAnsi="Garamond"/>
          <w:sz w:val="24"/>
          <w:szCs w:val="24"/>
          <w:lang w:val="en-US"/>
        </w:rPr>
      </w:pPr>
      <w:r>
        <w:rPr>
          <w:rFonts w:ascii="Garamond" w:hAnsi="Garamond"/>
          <w:sz w:val="24"/>
          <w:szCs w:val="24"/>
          <w:lang w:val="en-US"/>
        </w:rPr>
        <w:t>T</w:t>
      </w:r>
      <w:r w:rsidR="007C4440">
        <w:rPr>
          <w:rFonts w:ascii="Garamond" w:hAnsi="Garamond"/>
          <w:sz w:val="24"/>
          <w:szCs w:val="24"/>
          <w:lang w:val="en-US"/>
        </w:rPr>
        <w:t>o begin with, the</w:t>
      </w:r>
      <w:r w:rsidR="0028631A" w:rsidRPr="00D56AF5">
        <w:rPr>
          <w:rFonts w:ascii="Garamond" w:hAnsi="Garamond"/>
          <w:sz w:val="24"/>
          <w:szCs w:val="24"/>
          <w:lang w:val="en-US"/>
        </w:rPr>
        <w:t xml:space="preserve"> consent theory suggests that </w:t>
      </w:r>
      <w:r w:rsidR="0058482C">
        <w:rPr>
          <w:rFonts w:ascii="Garamond" w:hAnsi="Garamond"/>
          <w:sz w:val="24"/>
          <w:szCs w:val="24"/>
          <w:lang w:val="en-US"/>
        </w:rPr>
        <w:t xml:space="preserve">the </w:t>
      </w:r>
      <w:proofErr w:type="spellStart"/>
      <w:r w:rsidR="0028631A" w:rsidRPr="00D56AF5">
        <w:rPr>
          <w:rFonts w:ascii="Garamond" w:hAnsi="Garamond"/>
          <w:sz w:val="24"/>
          <w:szCs w:val="24"/>
          <w:lang w:val="en-US"/>
        </w:rPr>
        <w:t>potentia</w:t>
      </w:r>
      <w:proofErr w:type="spellEnd"/>
      <w:r w:rsidR="0028631A" w:rsidRPr="00D56AF5">
        <w:rPr>
          <w:rFonts w:ascii="Garamond" w:hAnsi="Garamond"/>
          <w:sz w:val="24"/>
          <w:szCs w:val="24"/>
          <w:lang w:val="en-US"/>
        </w:rPr>
        <w:t xml:space="preserve"> can be alienated through the state’s will</w:t>
      </w:r>
      <w:r w:rsidR="00591F2B" w:rsidRPr="00D56AF5">
        <w:rPr>
          <w:rFonts w:ascii="Garamond" w:hAnsi="Garamond"/>
          <w:sz w:val="24"/>
          <w:szCs w:val="24"/>
          <w:lang w:val="en-US"/>
        </w:rPr>
        <w:t>, without prejudice to the possession of sovereignty</w:t>
      </w:r>
      <w:r w:rsidR="00DB2D98" w:rsidRPr="00D56AF5">
        <w:rPr>
          <w:rFonts w:ascii="Garamond" w:hAnsi="Garamond"/>
          <w:sz w:val="24"/>
          <w:szCs w:val="24"/>
          <w:lang w:val="en-US"/>
        </w:rPr>
        <w:t xml:space="preserve">. </w:t>
      </w:r>
      <w:r w:rsidR="007E29E9" w:rsidRPr="00D56AF5">
        <w:rPr>
          <w:rFonts w:ascii="Garamond" w:hAnsi="Garamond"/>
          <w:sz w:val="24"/>
          <w:szCs w:val="24"/>
          <w:lang w:val="en-US"/>
        </w:rPr>
        <w:t>And</w:t>
      </w:r>
      <w:r w:rsidR="00B24E91" w:rsidRPr="00D56AF5">
        <w:rPr>
          <w:rFonts w:ascii="Garamond" w:hAnsi="Garamond"/>
          <w:sz w:val="24"/>
          <w:szCs w:val="24"/>
          <w:lang w:val="en-US"/>
        </w:rPr>
        <w:t xml:space="preserve"> i</w:t>
      </w:r>
      <w:r w:rsidR="00245831" w:rsidRPr="00D56AF5">
        <w:rPr>
          <w:rFonts w:ascii="Garamond" w:hAnsi="Garamond"/>
          <w:sz w:val="24"/>
          <w:szCs w:val="24"/>
          <w:lang w:val="en-US"/>
        </w:rPr>
        <w:t xml:space="preserve">f the state consents to the </w:t>
      </w:r>
      <w:r w:rsidR="006D703E" w:rsidRPr="00D56AF5">
        <w:rPr>
          <w:rFonts w:ascii="Garamond" w:hAnsi="Garamond"/>
          <w:sz w:val="24"/>
          <w:szCs w:val="24"/>
          <w:lang w:val="en-US"/>
        </w:rPr>
        <w:t xml:space="preserve">surrender </w:t>
      </w:r>
      <w:r w:rsidR="00245831" w:rsidRPr="00D56AF5">
        <w:rPr>
          <w:rFonts w:ascii="Garamond" w:hAnsi="Garamond"/>
          <w:sz w:val="24"/>
          <w:szCs w:val="24"/>
          <w:lang w:val="en-US"/>
        </w:rPr>
        <w:t xml:space="preserve">of </w:t>
      </w:r>
      <w:proofErr w:type="spellStart"/>
      <w:r w:rsidR="00245831" w:rsidRPr="00D56AF5">
        <w:rPr>
          <w:rFonts w:ascii="Garamond" w:hAnsi="Garamond"/>
          <w:sz w:val="24"/>
          <w:szCs w:val="24"/>
          <w:lang w:val="en-US"/>
        </w:rPr>
        <w:t>potestas</w:t>
      </w:r>
      <w:proofErr w:type="spellEnd"/>
      <w:r w:rsidR="00245831" w:rsidRPr="00D56AF5">
        <w:rPr>
          <w:rFonts w:ascii="Garamond" w:hAnsi="Garamond"/>
          <w:sz w:val="24"/>
          <w:szCs w:val="24"/>
          <w:lang w:val="en-US"/>
        </w:rPr>
        <w:t xml:space="preserve"> –</w:t>
      </w:r>
      <w:r w:rsidR="008D08EA">
        <w:rPr>
          <w:rFonts w:ascii="Garamond" w:hAnsi="Garamond"/>
          <w:sz w:val="24"/>
          <w:szCs w:val="24"/>
          <w:lang w:val="en-US"/>
        </w:rPr>
        <w:t xml:space="preserve"> </w:t>
      </w:r>
      <w:r w:rsidR="00245831" w:rsidRPr="00D56AF5">
        <w:rPr>
          <w:rFonts w:ascii="Garamond" w:hAnsi="Garamond"/>
          <w:sz w:val="24"/>
          <w:szCs w:val="24"/>
          <w:lang w:val="en-US"/>
        </w:rPr>
        <w:t xml:space="preserve">if it gives up its sovereign right – then the state ceases to exist. This is what happens in the case </w:t>
      </w:r>
      <w:r w:rsidR="00DE37E6" w:rsidRPr="00D56AF5">
        <w:rPr>
          <w:rFonts w:ascii="Garamond" w:hAnsi="Garamond"/>
          <w:sz w:val="24"/>
          <w:szCs w:val="24"/>
          <w:lang w:val="en-US"/>
        </w:rPr>
        <w:t xml:space="preserve">of consensual mergers </w:t>
      </w:r>
      <w:r w:rsidR="000B1419" w:rsidRPr="00D56AF5">
        <w:rPr>
          <w:rFonts w:ascii="Garamond" w:hAnsi="Garamond"/>
          <w:sz w:val="24"/>
          <w:szCs w:val="24"/>
          <w:lang w:val="en-US"/>
        </w:rPr>
        <w:t>through</w:t>
      </w:r>
      <w:r w:rsidR="006D703E" w:rsidRPr="00D56AF5">
        <w:rPr>
          <w:rFonts w:ascii="Garamond" w:hAnsi="Garamond"/>
          <w:sz w:val="24"/>
          <w:szCs w:val="24"/>
          <w:lang w:val="en-US"/>
        </w:rPr>
        <w:t xml:space="preserve"> </w:t>
      </w:r>
      <w:r w:rsidR="003B0128" w:rsidRPr="00D56AF5">
        <w:rPr>
          <w:rFonts w:ascii="Garamond" w:hAnsi="Garamond"/>
          <w:sz w:val="24"/>
          <w:szCs w:val="24"/>
          <w:lang w:val="en-US"/>
        </w:rPr>
        <w:t>state succession.</w:t>
      </w:r>
      <w:r w:rsidR="006D703E" w:rsidRPr="00D56AF5">
        <w:rPr>
          <w:rFonts w:ascii="Garamond" w:hAnsi="Garamond"/>
          <w:sz w:val="24"/>
          <w:szCs w:val="24"/>
          <w:lang w:val="en-US"/>
        </w:rPr>
        <w:t xml:space="preserve"> </w:t>
      </w:r>
      <w:r w:rsidR="00EA07A4">
        <w:rPr>
          <w:rFonts w:ascii="Garamond" w:hAnsi="Garamond"/>
          <w:sz w:val="24"/>
          <w:szCs w:val="24"/>
          <w:lang w:val="en-US"/>
        </w:rPr>
        <w:t>However,</w:t>
      </w:r>
      <w:r w:rsidR="007E29E9" w:rsidRPr="00D56AF5">
        <w:rPr>
          <w:rFonts w:ascii="Garamond" w:hAnsi="Garamond"/>
          <w:sz w:val="24"/>
          <w:szCs w:val="24"/>
          <w:lang w:val="en-US"/>
        </w:rPr>
        <w:t xml:space="preserve"> the </w:t>
      </w:r>
      <w:r w:rsidR="00C010E5" w:rsidRPr="00D56AF5">
        <w:rPr>
          <w:rFonts w:ascii="Garamond" w:hAnsi="Garamond"/>
          <w:sz w:val="24"/>
          <w:szCs w:val="24"/>
          <w:lang w:val="en-US"/>
        </w:rPr>
        <w:t xml:space="preserve">consent theory </w:t>
      </w:r>
      <w:r w:rsidR="007E29E9" w:rsidRPr="00D56AF5">
        <w:rPr>
          <w:rFonts w:ascii="Garamond" w:hAnsi="Garamond"/>
          <w:sz w:val="24"/>
          <w:szCs w:val="24"/>
          <w:lang w:val="en-US"/>
        </w:rPr>
        <w:t xml:space="preserve">does </w:t>
      </w:r>
      <w:r w:rsidR="00C010E5" w:rsidRPr="00D56AF5">
        <w:rPr>
          <w:rFonts w:ascii="Garamond" w:hAnsi="Garamond"/>
          <w:sz w:val="24"/>
          <w:szCs w:val="24"/>
          <w:lang w:val="en-US"/>
        </w:rPr>
        <w:t xml:space="preserve">not tell us whether such a surrender of </w:t>
      </w:r>
      <w:proofErr w:type="spellStart"/>
      <w:r w:rsidR="00C010E5" w:rsidRPr="00D56AF5">
        <w:rPr>
          <w:rFonts w:ascii="Garamond" w:hAnsi="Garamond"/>
          <w:sz w:val="24"/>
          <w:szCs w:val="24"/>
          <w:lang w:val="en-US"/>
        </w:rPr>
        <w:t>potestas</w:t>
      </w:r>
      <w:proofErr w:type="spellEnd"/>
      <w:r w:rsidR="00C010E5" w:rsidRPr="00D56AF5">
        <w:rPr>
          <w:rFonts w:ascii="Garamond" w:hAnsi="Garamond"/>
          <w:sz w:val="24"/>
          <w:szCs w:val="24"/>
          <w:lang w:val="en-US"/>
        </w:rPr>
        <w:t xml:space="preserve"> is justified</w:t>
      </w:r>
      <w:r w:rsidR="007E29E9" w:rsidRPr="00D56AF5">
        <w:rPr>
          <w:rFonts w:ascii="Garamond" w:hAnsi="Garamond"/>
          <w:sz w:val="24"/>
          <w:szCs w:val="24"/>
          <w:lang w:val="en-US"/>
        </w:rPr>
        <w:t xml:space="preserve">. It </w:t>
      </w:r>
      <w:r w:rsidR="00B87822" w:rsidRPr="00D56AF5">
        <w:rPr>
          <w:rFonts w:ascii="Garamond" w:hAnsi="Garamond"/>
          <w:sz w:val="24"/>
          <w:szCs w:val="24"/>
          <w:lang w:val="en-US"/>
        </w:rPr>
        <w:t xml:space="preserve">simply </w:t>
      </w:r>
      <w:r w:rsidR="003C4CDB" w:rsidRPr="00D56AF5">
        <w:rPr>
          <w:rFonts w:ascii="Garamond" w:hAnsi="Garamond"/>
          <w:sz w:val="24"/>
          <w:szCs w:val="24"/>
          <w:lang w:val="en-US"/>
        </w:rPr>
        <w:t>explains</w:t>
      </w:r>
      <w:r w:rsidR="00B87822" w:rsidRPr="00D56AF5">
        <w:rPr>
          <w:rFonts w:ascii="Garamond" w:hAnsi="Garamond"/>
          <w:sz w:val="24"/>
          <w:szCs w:val="24"/>
          <w:lang w:val="en-US"/>
        </w:rPr>
        <w:t xml:space="preserve"> that sovereignty </w:t>
      </w:r>
      <w:r w:rsidR="003C4CDB" w:rsidRPr="00D56AF5">
        <w:rPr>
          <w:rFonts w:ascii="Garamond" w:hAnsi="Garamond"/>
          <w:sz w:val="24"/>
          <w:szCs w:val="24"/>
          <w:lang w:val="en-US"/>
        </w:rPr>
        <w:t xml:space="preserve">is </w:t>
      </w:r>
      <w:r w:rsidR="00B87822" w:rsidRPr="00D56AF5">
        <w:rPr>
          <w:rFonts w:ascii="Garamond" w:hAnsi="Garamond"/>
          <w:sz w:val="24"/>
          <w:szCs w:val="24"/>
          <w:lang w:val="en-US"/>
        </w:rPr>
        <w:t>extinguished in</w:t>
      </w:r>
      <w:r w:rsidR="00674FE0" w:rsidRPr="00D56AF5">
        <w:rPr>
          <w:rFonts w:ascii="Garamond" w:hAnsi="Garamond"/>
          <w:sz w:val="24"/>
          <w:szCs w:val="24"/>
          <w:lang w:val="en-US"/>
        </w:rPr>
        <w:t xml:space="preserve"> fact</w:t>
      </w:r>
      <w:r w:rsidR="00C010E5" w:rsidRPr="00D56AF5">
        <w:rPr>
          <w:rFonts w:ascii="Garamond" w:hAnsi="Garamond"/>
          <w:sz w:val="24"/>
          <w:szCs w:val="24"/>
          <w:lang w:val="en-US"/>
        </w:rPr>
        <w:t xml:space="preserve">. </w:t>
      </w:r>
      <w:r w:rsidRPr="00D56AF5">
        <w:rPr>
          <w:rFonts w:ascii="Garamond" w:hAnsi="Garamond"/>
          <w:sz w:val="24"/>
          <w:szCs w:val="24"/>
          <w:lang w:val="en-US"/>
        </w:rPr>
        <w:t>The service conception</w:t>
      </w:r>
      <w:r>
        <w:rPr>
          <w:rFonts w:ascii="Garamond" w:hAnsi="Garamond"/>
          <w:sz w:val="24"/>
          <w:szCs w:val="24"/>
          <w:lang w:val="en-US"/>
        </w:rPr>
        <w:t xml:space="preserve"> however,</w:t>
      </w:r>
      <w:r w:rsidRPr="00D56AF5">
        <w:rPr>
          <w:rFonts w:ascii="Garamond" w:hAnsi="Garamond"/>
          <w:sz w:val="24"/>
          <w:szCs w:val="24"/>
          <w:lang w:val="en-US"/>
        </w:rPr>
        <w:t xml:space="preserve"> postulates that authority is justified when </w:t>
      </w:r>
      <w:r w:rsidRPr="00D56AF5">
        <w:rPr>
          <w:rFonts w:ascii="Garamond" w:hAnsi="Garamond"/>
          <w:sz w:val="24"/>
          <w:szCs w:val="24"/>
          <w:lang w:val="en-US"/>
        </w:rPr>
        <w:lastRenderedPageBreak/>
        <w:t xml:space="preserve">the dependence condition and NJT condition are fulfilled i.e., when the dictates of international law improve the state’s compliance with reasons which already apply to it. The normative purpose of the state is the well-being of individuals and the good of its political community. Therefore, international law should promote these ends, to be authoritative. The service condition then, might tell us, that the surrender of </w:t>
      </w:r>
      <w:proofErr w:type="spellStart"/>
      <w:r w:rsidRPr="00D56AF5">
        <w:rPr>
          <w:rFonts w:ascii="Garamond" w:hAnsi="Garamond"/>
          <w:sz w:val="24"/>
          <w:szCs w:val="24"/>
          <w:lang w:val="en-US"/>
        </w:rPr>
        <w:t>potestas</w:t>
      </w:r>
      <w:proofErr w:type="spellEnd"/>
      <w:r w:rsidRPr="00D56AF5">
        <w:rPr>
          <w:rFonts w:ascii="Garamond" w:hAnsi="Garamond"/>
          <w:sz w:val="24"/>
          <w:szCs w:val="24"/>
          <w:lang w:val="en-US"/>
        </w:rPr>
        <w:t xml:space="preserve"> is justified</w:t>
      </w:r>
      <w:r w:rsidR="008D08EA">
        <w:rPr>
          <w:rFonts w:ascii="Garamond" w:hAnsi="Garamond"/>
          <w:sz w:val="24"/>
          <w:szCs w:val="24"/>
          <w:lang w:val="en-US"/>
        </w:rPr>
        <w:t xml:space="preserve"> </w:t>
      </w:r>
      <w:r w:rsidRPr="00D56AF5">
        <w:rPr>
          <w:rFonts w:ascii="Garamond" w:hAnsi="Garamond"/>
          <w:sz w:val="24"/>
          <w:szCs w:val="24"/>
          <w:lang w:val="en-US"/>
        </w:rPr>
        <w:t xml:space="preserve">in the context of decolonization or remedial secession, </w:t>
      </w:r>
      <w:r w:rsidR="008D08EA">
        <w:rPr>
          <w:rFonts w:ascii="Garamond" w:hAnsi="Garamond"/>
          <w:sz w:val="24"/>
          <w:szCs w:val="24"/>
          <w:lang w:val="en-US"/>
        </w:rPr>
        <w:t xml:space="preserve">where </w:t>
      </w:r>
      <w:r w:rsidRPr="00D56AF5">
        <w:rPr>
          <w:rFonts w:ascii="Garamond" w:hAnsi="Garamond"/>
          <w:sz w:val="24"/>
          <w:szCs w:val="24"/>
          <w:lang w:val="en-US"/>
        </w:rPr>
        <w:t xml:space="preserve">the surrender of the sovereign right by a colonizer or a rights-abusing state is </w:t>
      </w:r>
      <w:r w:rsidR="008D08EA">
        <w:rPr>
          <w:rFonts w:ascii="Garamond" w:hAnsi="Garamond"/>
          <w:sz w:val="24"/>
          <w:szCs w:val="24"/>
          <w:lang w:val="en-US"/>
        </w:rPr>
        <w:t>necessary for</w:t>
      </w:r>
      <w:r w:rsidRPr="00D56AF5">
        <w:rPr>
          <w:rFonts w:ascii="Garamond" w:hAnsi="Garamond"/>
          <w:sz w:val="24"/>
          <w:szCs w:val="24"/>
          <w:lang w:val="en-US"/>
        </w:rPr>
        <w:t xml:space="preserve"> the good of the political community.</w:t>
      </w:r>
      <w:r w:rsidRPr="00D56AF5">
        <w:rPr>
          <w:rStyle w:val="FootnoteReference"/>
          <w:rFonts w:ascii="Garamond" w:hAnsi="Garamond"/>
          <w:sz w:val="24"/>
          <w:szCs w:val="24"/>
          <w:lang w:val="en-US"/>
        </w:rPr>
        <w:footnoteReference w:id="103"/>
      </w:r>
      <w:r w:rsidRPr="00D56AF5">
        <w:rPr>
          <w:rFonts w:ascii="Garamond" w:hAnsi="Garamond"/>
          <w:sz w:val="24"/>
          <w:szCs w:val="24"/>
          <w:lang w:val="en-US"/>
        </w:rPr>
        <w:t xml:space="preserve"> </w:t>
      </w:r>
    </w:p>
    <w:p w14:paraId="1151B3A3" w14:textId="3C992A14" w:rsidR="00347887" w:rsidRPr="00D56AF5" w:rsidRDefault="000A69C0" w:rsidP="001340AF">
      <w:pPr>
        <w:spacing w:after="120" w:line="480" w:lineRule="auto"/>
        <w:jc w:val="both"/>
        <w:rPr>
          <w:rFonts w:ascii="Garamond" w:hAnsi="Garamond"/>
          <w:sz w:val="24"/>
          <w:szCs w:val="24"/>
          <w:lang w:val="en-US"/>
        </w:rPr>
      </w:pPr>
      <w:r>
        <w:rPr>
          <w:rFonts w:ascii="Garamond" w:hAnsi="Garamond"/>
          <w:sz w:val="24"/>
          <w:szCs w:val="24"/>
          <w:lang w:val="en-US"/>
        </w:rPr>
        <w:t xml:space="preserve">Additionally, </w:t>
      </w:r>
      <w:r w:rsidR="006D703E" w:rsidRPr="00D56AF5">
        <w:rPr>
          <w:rFonts w:ascii="Garamond" w:hAnsi="Garamond"/>
          <w:sz w:val="24"/>
          <w:szCs w:val="24"/>
          <w:lang w:val="en-US"/>
        </w:rPr>
        <w:t>it is</w:t>
      </w:r>
      <w:r w:rsidR="00B24E91" w:rsidRPr="00D56AF5">
        <w:rPr>
          <w:rFonts w:ascii="Garamond" w:hAnsi="Garamond"/>
          <w:sz w:val="24"/>
          <w:szCs w:val="24"/>
          <w:lang w:val="en-US"/>
        </w:rPr>
        <w:t xml:space="preserve"> </w:t>
      </w:r>
      <w:r w:rsidR="006D703E" w:rsidRPr="00D56AF5">
        <w:rPr>
          <w:rFonts w:ascii="Garamond" w:hAnsi="Garamond"/>
          <w:sz w:val="24"/>
          <w:szCs w:val="24"/>
          <w:lang w:val="en-US"/>
        </w:rPr>
        <w:t xml:space="preserve">possible for </w:t>
      </w:r>
      <w:r w:rsidR="00674FE0" w:rsidRPr="00D56AF5">
        <w:rPr>
          <w:rFonts w:ascii="Garamond" w:hAnsi="Garamond"/>
          <w:sz w:val="24"/>
          <w:szCs w:val="24"/>
          <w:lang w:val="en-US"/>
        </w:rPr>
        <w:t xml:space="preserve">the </w:t>
      </w:r>
      <w:proofErr w:type="spellStart"/>
      <w:r w:rsidR="006D703E" w:rsidRPr="00D56AF5">
        <w:rPr>
          <w:rFonts w:ascii="Garamond" w:hAnsi="Garamond"/>
          <w:sz w:val="24"/>
          <w:szCs w:val="24"/>
          <w:lang w:val="en-US"/>
        </w:rPr>
        <w:t>potentia</w:t>
      </w:r>
      <w:proofErr w:type="spellEnd"/>
      <w:r w:rsidR="006D703E" w:rsidRPr="00D56AF5">
        <w:rPr>
          <w:rFonts w:ascii="Garamond" w:hAnsi="Garamond"/>
          <w:sz w:val="24"/>
          <w:szCs w:val="24"/>
          <w:lang w:val="en-US"/>
        </w:rPr>
        <w:t xml:space="preserve"> to be so alienated, that a state’s </w:t>
      </w:r>
      <w:proofErr w:type="spellStart"/>
      <w:r w:rsidR="006D703E" w:rsidRPr="00D56AF5">
        <w:rPr>
          <w:rFonts w:ascii="Garamond" w:hAnsi="Garamond"/>
          <w:sz w:val="24"/>
          <w:szCs w:val="24"/>
          <w:lang w:val="en-US"/>
        </w:rPr>
        <w:t>potestas</w:t>
      </w:r>
      <w:proofErr w:type="spellEnd"/>
      <w:r w:rsidR="006D703E" w:rsidRPr="00D56AF5">
        <w:rPr>
          <w:rFonts w:ascii="Garamond" w:hAnsi="Garamond"/>
          <w:sz w:val="24"/>
          <w:szCs w:val="24"/>
          <w:lang w:val="en-US"/>
        </w:rPr>
        <w:t xml:space="preserve"> is stripped of</w:t>
      </w:r>
      <w:r w:rsidR="00D03A5C" w:rsidRPr="00D56AF5">
        <w:rPr>
          <w:rFonts w:ascii="Garamond" w:hAnsi="Garamond"/>
          <w:sz w:val="24"/>
          <w:szCs w:val="24"/>
          <w:lang w:val="en-US"/>
        </w:rPr>
        <w:t xml:space="preserve"> its</w:t>
      </w:r>
      <w:r w:rsidR="006D703E" w:rsidRPr="00D56AF5">
        <w:rPr>
          <w:rFonts w:ascii="Garamond" w:hAnsi="Garamond"/>
          <w:sz w:val="24"/>
          <w:szCs w:val="24"/>
          <w:lang w:val="en-US"/>
        </w:rPr>
        <w:t xml:space="preserve"> meaning</w:t>
      </w:r>
      <w:r w:rsidR="0072169C" w:rsidRPr="00D56AF5">
        <w:rPr>
          <w:rFonts w:ascii="Garamond" w:hAnsi="Garamond"/>
          <w:sz w:val="24"/>
          <w:szCs w:val="24"/>
          <w:lang w:val="en-US"/>
        </w:rPr>
        <w:t xml:space="preserve"> as </w:t>
      </w:r>
      <w:r w:rsidR="00EA1E56" w:rsidRPr="00D56AF5">
        <w:rPr>
          <w:rFonts w:ascii="Garamond" w:hAnsi="Garamond"/>
          <w:sz w:val="24"/>
          <w:szCs w:val="24"/>
          <w:lang w:val="en-US"/>
        </w:rPr>
        <w:t>‘</w:t>
      </w:r>
      <w:r w:rsidR="0072169C" w:rsidRPr="00D56AF5">
        <w:rPr>
          <w:rFonts w:ascii="Garamond" w:hAnsi="Garamond"/>
          <w:sz w:val="24"/>
          <w:szCs w:val="24"/>
          <w:lang w:val="en-US"/>
        </w:rPr>
        <w:t>representative of the autonomy of the political realm</w:t>
      </w:r>
      <w:r w:rsidR="00EA1E56" w:rsidRPr="00D56AF5">
        <w:rPr>
          <w:rFonts w:ascii="Garamond" w:hAnsi="Garamond"/>
          <w:sz w:val="24"/>
          <w:szCs w:val="24"/>
          <w:lang w:val="en-US"/>
        </w:rPr>
        <w:t>’</w:t>
      </w:r>
      <w:r w:rsidR="00B65930" w:rsidRPr="00D56AF5">
        <w:rPr>
          <w:rFonts w:ascii="Garamond" w:hAnsi="Garamond"/>
          <w:sz w:val="24"/>
          <w:szCs w:val="24"/>
          <w:lang w:val="en-US"/>
        </w:rPr>
        <w:t>.</w:t>
      </w:r>
      <w:r w:rsidR="006D703E" w:rsidRPr="00D56AF5">
        <w:rPr>
          <w:rStyle w:val="FootnoteReference"/>
          <w:rFonts w:ascii="Garamond" w:hAnsi="Garamond"/>
          <w:sz w:val="24"/>
          <w:szCs w:val="24"/>
          <w:lang w:val="en-US"/>
        </w:rPr>
        <w:footnoteReference w:id="104"/>
      </w:r>
      <w:r w:rsidR="00B65930" w:rsidRPr="00D56AF5">
        <w:rPr>
          <w:rFonts w:ascii="Garamond" w:hAnsi="Garamond"/>
          <w:sz w:val="24"/>
          <w:szCs w:val="24"/>
          <w:lang w:val="en-US"/>
        </w:rPr>
        <w:t xml:space="preserve"> This has been termed an ‘erosion’ of sovereignty</w:t>
      </w:r>
      <w:r w:rsidR="00674FE0" w:rsidRPr="00D56AF5">
        <w:rPr>
          <w:rFonts w:ascii="Garamond" w:hAnsi="Garamond"/>
          <w:sz w:val="24"/>
          <w:szCs w:val="24"/>
          <w:lang w:val="en-US"/>
        </w:rPr>
        <w:t>,</w:t>
      </w:r>
      <w:r w:rsidR="00307B28" w:rsidRPr="00D56AF5">
        <w:rPr>
          <w:rFonts w:ascii="Garamond" w:hAnsi="Garamond"/>
          <w:sz w:val="24"/>
          <w:szCs w:val="24"/>
          <w:lang w:val="en-US"/>
        </w:rPr>
        <w:t xml:space="preserve"> because it mirrors a loss in the meaning</w:t>
      </w:r>
      <w:r w:rsidR="00B24E91" w:rsidRPr="00D56AF5">
        <w:rPr>
          <w:rFonts w:ascii="Garamond" w:hAnsi="Garamond"/>
          <w:sz w:val="24"/>
          <w:szCs w:val="24"/>
          <w:lang w:val="en-US"/>
        </w:rPr>
        <w:t xml:space="preserve"> of</w:t>
      </w:r>
      <w:r w:rsidR="00307B28" w:rsidRPr="00D56AF5">
        <w:rPr>
          <w:rFonts w:ascii="Garamond" w:hAnsi="Garamond"/>
          <w:sz w:val="24"/>
          <w:szCs w:val="24"/>
          <w:lang w:val="en-US"/>
        </w:rPr>
        <w:t xml:space="preserve"> </w:t>
      </w:r>
      <w:r w:rsidR="0074329D" w:rsidRPr="00D56AF5">
        <w:rPr>
          <w:rFonts w:ascii="Garamond" w:hAnsi="Garamond"/>
          <w:sz w:val="24"/>
          <w:szCs w:val="24"/>
          <w:lang w:val="en-US"/>
        </w:rPr>
        <w:t xml:space="preserve">the </w:t>
      </w:r>
      <w:r w:rsidR="00307B28" w:rsidRPr="00D56AF5">
        <w:rPr>
          <w:rFonts w:ascii="Garamond" w:hAnsi="Garamond"/>
          <w:sz w:val="24"/>
          <w:szCs w:val="24"/>
          <w:lang w:val="en-US"/>
        </w:rPr>
        <w:t>concept</w:t>
      </w:r>
      <w:r w:rsidR="0074329D" w:rsidRPr="00D56AF5">
        <w:rPr>
          <w:rFonts w:ascii="Garamond" w:hAnsi="Garamond"/>
          <w:sz w:val="24"/>
          <w:szCs w:val="24"/>
          <w:lang w:val="en-US"/>
        </w:rPr>
        <w:t xml:space="preserve"> </w:t>
      </w:r>
      <w:r w:rsidR="00EA1E56" w:rsidRPr="00D56AF5">
        <w:rPr>
          <w:rFonts w:ascii="Garamond" w:hAnsi="Garamond"/>
          <w:sz w:val="24"/>
          <w:szCs w:val="24"/>
          <w:lang w:val="en-US"/>
        </w:rPr>
        <w:t xml:space="preserve">without </w:t>
      </w:r>
      <w:r w:rsidR="0074329D" w:rsidRPr="00D56AF5">
        <w:rPr>
          <w:rFonts w:ascii="Garamond" w:hAnsi="Garamond"/>
          <w:sz w:val="24"/>
          <w:szCs w:val="24"/>
          <w:lang w:val="en-US"/>
        </w:rPr>
        <w:t xml:space="preserve">a </w:t>
      </w:r>
      <w:r w:rsidR="00EA1E56" w:rsidRPr="00D56AF5">
        <w:rPr>
          <w:rFonts w:ascii="Garamond" w:hAnsi="Garamond"/>
          <w:sz w:val="24"/>
          <w:szCs w:val="24"/>
          <w:lang w:val="en-US"/>
        </w:rPr>
        <w:t xml:space="preserve">simultaneous </w:t>
      </w:r>
      <w:r w:rsidR="0074329D" w:rsidRPr="00D56AF5">
        <w:rPr>
          <w:rFonts w:ascii="Garamond" w:hAnsi="Garamond"/>
          <w:sz w:val="24"/>
          <w:szCs w:val="24"/>
          <w:lang w:val="en-US"/>
        </w:rPr>
        <w:t xml:space="preserve">loss </w:t>
      </w:r>
      <w:r w:rsidR="00DF73D8" w:rsidRPr="00D56AF5">
        <w:rPr>
          <w:rFonts w:ascii="Garamond" w:hAnsi="Garamond"/>
          <w:sz w:val="24"/>
          <w:szCs w:val="24"/>
          <w:lang w:val="en-US"/>
        </w:rPr>
        <w:t xml:space="preserve">of </w:t>
      </w:r>
      <w:r w:rsidR="00813483" w:rsidRPr="00D56AF5">
        <w:rPr>
          <w:rFonts w:ascii="Garamond" w:hAnsi="Garamond"/>
          <w:sz w:val="24"/>
          <w:szCs w:val="24"/>
          <w:lang w:val="en-US"/>
        </w:rPr>
        <w:t xml:space="preserve">claim to </w:t>
      </w:r>
      <w:r w:rsidR="0074329D" w:rsidRPr="00D56AF5">
        <w:rPr>
          <w:rFonts w:ascii="Garamond" w:hAnsi="Garamond"/>
          <w:sz w:val="24"/>
          <w:szCs w:val="24"/>
          <w:lang w:val="en-US"/>
        </w:rPr>
        <w:t>right</w:t>
      </w:r>
      <w:r w:rsidR="00CC3635" w:rsidRPr="00D56AF5">
        <w:rPr>
          <w:rFonts w:ascii="Garamond" w:hAnsi="Garamond"/>
          <w:sz w:val="24"/>
          <w:szCs w:val="24"/>
          <w:lang w:val="en-US"/>
        </w:rPr>
        <w:t>ful authority</w:t>
      </w:r>
      <w:r w:rsidR="00B65930" w:rsidRPr="00D56AF5">
        <w:rPr>
          <w:rFonts w:ascii="Garamond" w:hAnsi="Garamond"/>
          <w:sz w:val="24"/>
          <w:szCs w:val="24"/>
          <w:lang w:val="en-US"/>
        </w:rPr>
        <w:t>.</w:t>
      </w:r>
      <w:r w:rsidR="002435DF" w:rsidRPr="00D56AF5">
        <w:rPr>
          <w:rStyle w:val="FootnoteReference"/>
          <w:rFonts w:ascii="Garamond" w:hAnsi="Garamond"/>
          <w:sz w:val="24"/>
          <w:szCs w:val="24"/>
          <w:lang w:val="en-US"/>
        </w:rPr>
        <w:footnoteReference w:id="105"/>
      </w:r>
      <w:r w:rsidR="00B65930" w:rsidRPr="00D56AF5">
        <w:rPr>
          <w:rFonts w:ascii="Garamond" w:hAnsi="Garamond"/>
          <w:sz w:val="24"/>
          <w:szCs w:val="24"/>
          <w:lang w:val="en-US"/>
        </w:rPr>
        <w:t xml:space="preserve"> </w:t>
      </w:r>
      <w:r w:rsidR="002B65D3" w:rsidRPr="00D56AF5">
        <w:rPr>
          <w:rFonts w:ascii="Garamond" w:hAnsi="Garamond"/>
          <w:sz w:val="24"/>
          <w:szCs w:val="24"/>
          <w:lang w:val="en-US"/>
        </w:rPr>
        <w:t xml:space="preserve">The consent theory does not tell us at what point a consensual loss of </w:t>
      </w:r>
      <w:proofErr w:type="spellStart"/>
      <w:r w:rsidR="002B65D3" w:rsidRPr="00D56AF5">
        <w:rPr>
          <w:rFonts w:ascii="Garamond" w:hAnsi="Garamond"/>
          <w:sz w:val="24"/>
          <w:szCs w:val="24"/>
          <w:lang w:val="en-US"/>
        </w:rPr>
        <w:t>potentia</w:t>
      </w:r>
      <w:proofErr w:type="spellEnd"/>
      <w:r w:rsidR="002B65D3" w:rsidRPr="00D56AF5">
        <w:rPr>
          <w:rFonts w:ascii="Garamond" w:hAnsi="Garamond"/>
          <w:sz w:val="24"/>
          <w:szCs w:val="24"/>
          <w:lang w:val="en-US"/>
        </w:rPr>
        <w:t xml:space="preserve"> </w:t>
      </w:r>
      <w:r w:rsidR="00FB6C6B" w:rsidRPr="00D56AF5">
        <w:rPr>
          <w:rFonts w:ascii="Garamond" w:hAnsi="Garamond"/>
          <w:sz w:val="24"/>
          <w:szCs w:val="24"/>
          <w:lang w:val="en-US"/>
        </w:rPr>
        <w:t>leads to an</w:t>
      </w:r>
      <w:r w:rsidR="002B65D3" w:rsidRPr="00D56AF5">
        <w:rPr>
          <w:rFonts w:ascii="Garamond" w:hAnsi="Garamond"/>
          <w:sz w:val="24"/>
          <w:szCs w:val="24"/>
          <w:lang w:val="en-US"/>
        </w:rPr>
        <w:t xml:space="preserve"> erosion of sovereignty</w:t>
      </w:r>
      <w:r w:rsidR="00444187" w:rsidRPr="00D56AF5">
        <w:rPr>
          <w:rFonts w:ascii="Garamond" w:hAnsi="Garamond"/>
          <w:sz w:val="24"/>
          <w:szCs w:val="24"/>
          <w:lang w:val="en-US"/>
        </w:rPr>
        <w:t xml:space="preserve">, because it does not concern itself with the justification of the </w:t>
      </w:r>
      <w:proofErr w:type="spellStart"/>
      <w:r w:rsidR="00444187" w:rsidRPr="00D56AF5">
        <w:rPr>
          <w:rFonts w:ascii="Garamond" w:hAnsi="Garamond"/>
          <w:sz w:val="24"/>
          <w:szCs w:val="24"/>
          <w:lang w:val="en-US"/>
        </w:rPr>
        <w:t>potestas</w:t>
      </w:r>
      <w:proofErr w:type="spellEnd"/>
      <w:r w:rsidR="002B65D3" w:rsidRPr="00D56AF5">
        <w:rPr>
          <w:rFonts w:ascii="Garamond" w:hAnsi="Garamond"/>
          <w:sz w:val="24"/>
          <w:szCs w:val="24"/>
          <w:lang w:val="en-US"/>
        </w:rPr>
        <w:t xml:space="preserve">. </w:t>
      </w:r>
      <w:r w:rsidR="00E503E0" w:rsidRPr="00D56AF5">
        <w:rPr>
          <w:rFonts w:ascii="Garamond" w:hAnsi="Garamond"/>
          <w:sz w:val="24"/>
          <w:szCs w:val="24"/>
          <w:lang w:val="en-US"/>
        </w:rPr>
        <w:t>Such normative guidance is indispensable, because</w:t>
      </w:r>
      <w:r w:rsidR="001577B5">
        <w:rPr>
          <w:rFonts w:ascii="Garamond" w:hAnsi="Garamond"/>
          <w:sz w:val="24"/>
          <w:szCs w:val="24"/>
          <w:lang w:val="en-US"/>
        </w:rPr>
        <w:t xml:space="preserve"> </w:t>
      </w:r>
      <w:r w:rsidR="00CD0124" w:rsidRPr="00D56AF5">
        <w:rPr>
          <w:rFonts w:ascii="Garamond" w:hAnsi="Garamond"/>
          <w:sz w:val="24"/>
          <w:szCs w:val="24"/>
          <w:lang w:val="en-US"/>
        </w:rPr>
        <w:t xml:space="preserve">sovereign rights </w:t>
      </w:r>
      <w:r w:rsidR="002A0DB7">
        <w:rPr>
          <w:rFonts w:ascii="Garamond" w:hAnsi="Garamond"/>
          <w:sz w:val="24"/>
          <w:szCs w:val="24"/>
          <w:lang w:val="en-US"/>
        </w:rPr>
        <w:t xml:space="preserve">should not be </w:t>
      </w:r>
      <w:r w:rsidR="00CD0124" w:rsidRPr="00D56AF5">
        <w:rPr>
          <w:rFonts w:ascii="Garamond" w:hAnsi="Garamond"/>
          <w:sz w:val="24"/>
          <w:szCs w:val="24"/>
          <w:lang w:val="en-US"/>
        </w:rPr>
        <w:t xml:space="preserve">exercised </w:t>
      </w:r>
      <w:proofErr w:type="gramStart"/>
      <w:r w:rsidR="00CD0124" w:rsidRPr="00D56AF5">
        <w:rPr>
          <w:rFonts w:ascii="Garamond" w:hAnsi="Garamond"/>
          <w:sz w:val="24"/>
          <w:szCs w:val="24"/>
          <w:lang w:val="en-US"/>
        </w:rPr>
        <w:t>so as to</w:t>
      </w:r>
      <w:proofErr w:type="gramEnd"/>
      <w:r w:rsidR="00CD0124" w:rsidRPr="00D56AF5">
        <w:rPr>
          <w:rFonts w:ascii="Garamond" w:hAnsi="Garamond"/>
          <w:sz w:val="24"/>
          <w:szCs w:val="24"/>
          <w:lang w:val="en-US"/>
        </w:rPr>
        <w:t xml:space="preserve"> </w:t>
      </w:r>
      <w:r w:rsidR="003B09B5" w:rsidRPr="00D56AF5">
        <w:rPr>
          <w:rFonts w:ascii="Garamond" w:hAnsi="Garamond"/>
          <w:i/>
          <w:iCs/>
          <w:sz w:val="24"/>
          <w:szCs w:val="24"/>
          <w:lang w:val="en-US"/>
        </w:rPr>
        <w:t>“deprive the sovereignty of all other States of meaning.”</w:t>
      </w:r>
      <w:r w:rsidR="003B09B5" w:rsidRPr="00D56AF5">
        <w:rPr>
          <w:rStyle w:val="FootnoteReference"/>
          <w:rFonts w:ascii="Garamond" w:hAnsi="Garamond"/>
          <w:i/>
          <w:iCs/>
          <w:sz w:val="24"/>
          <w:szCs w:val="24"/>
          <w:lang w:val="en-US"/>
        </w:rPr>
        <w:footnoteReference w:id="106"/>
      </w:r>
      <w:r w:rsidR="00347887">
        <w:rPr>
          <w:rFonts w:ascii="Garamond" w:hAnsi="Garamond"/>
          <w:i/>
          <w:iCs/>
          <w:sz w:val="24"/>
          <w:szCs w:val="24"/>
          <w:lang w:val="en-US"/>
        </w:rPr>
        <w:t xml:space="preserve"> </w:t>
      </w:r>
      <w:r w:rsidR="00347887" w:rsidRPr="00D56AF5">
        <w:rPr>
          <w:rFonts w:ascii="Garamond" w:hAnsi="Garamond"/>
          <w:sz w:val="24"/>
          <w:szCs w:val="24"/>
          <w:lang w:val="en-US"/>
        </w:rPr>
        <w:t>The service conception</w:t>
      </w:r>
      <w:r w:rsidR="00347887">
        <w:rPr>
          <w:rFonts w:ascii="Garamond" w:hAnsi="Garamond"/>
          <w:sz w:val="24"/>
          <w:szCs w:val="24"/>
          <w:lang w:val="en-US"/>
        </w:rPr>
        <w:t xml:space="preserve"> remedies this defect.</w:t>
      </w:r>
      <w:r w:rsidR="00347887" w:rsidRPr="00D56AF5">
        <w:rPr>
          <w:rFonts w:ascii="Garamond" w:hAnsi="Garamond"/>
          <w:sz w:val="24"/>
          <w:szCs w:val="24"/>
          <w:lang w:val="en-US"/>
        </w:rPr>
        <w:t xml:space="preserve"> </w:t>
      </w:r>
      <w:r w:rsidR="00347887">
        <w:rPr>
          <w:rFonts w:ascii="Garamond" w:hAnsi="Garamond"/>
          <w:sz w:val="24"/>
          <w:szCs w:val="24"/>
          <w:lang w:val="en-US"/>
        </w:rPr>
        <w:t>For starters, the service conception</w:t>
      </w:r>
      <w:r w:rsidR="00347887" w:rsidRPr="00D56AF5">
        <w:rPr>
          <w:rFonts w:ascii="Garamond" w:hAnsi="Garamond"/>
          <w:sz w:val="24"/>
          <w:szCs w:val="24"/>
          <w:lang w:val="en-US"/>
        </w:rPr>
        <w:t xml:space="preserve"> </w:t>
      </w:r>
      <w:r w:rsidR="001340AF">
        <w:rPr>
          <w:rFonts w:ascii="Garamond" w:hAnsi="Garamond"/>
          <w:sz w:val="24"/>
          <w:szCs w:val="24"/>
          <w:lang w:val="en-US"/>
        </w:rPr>
        <w:t>a</w:t>
      </w:r>
      <w:r w:rsidR="008D08EA">
        <w:rPr>
          <w:rFonts w:ascii="Garamond" w:hAnsi="Garamond"/>
          <w:sz w:val="24"/>
          <w:szCs w:val="24"/>
          <w:lang w:val="en-US"/>
        </w:rPr>
        <w:t>ccounts</w:t>
      </w:r>
      <w:r w:rsidR="00347887" w:rsidRPr="00D56AF5">
        <w:rPr>
          <w:rFonts w:ascii="Garamond" w:hAnsi="Garamond"/>
          <w:sz w:val="24"/>
          <w:szCs w:val="24"/>
          <w:lang w:val="en-US"/>
        </w:rPr>
        <w:t xml:space="preserve"> for the possibility that the </w:t>
      </w:r>
      <w:proofErr w:type="spellStart"/>
      <w:r w:rsidR="00347887" w:rsidRPr="00D56AF5">
        <w:rPr>
          <w:rFonts w:ascii="Garamond" w:hAnsi="Garamond"/>
          <w:sz w:val="24"/>
          <w:szCs w:val="24"/>
          <w:lang w:val="en-US"/>
        </w:rPr>
        <w:t>potentia</w:t>
      </w:r>
      <w:proofErr w:type="spellEnd"/>
      <w:r w:rsidR="00347887" w:rsidRPr="00D56AF5">
        <w:rPr>
          <w:rFonts w:ascii="Garamond" w:hAnsi="Garamond"/>
          <w:sz w:val="24"/>
          <w:szCs w:val="24"/>
          <w:lang w:val="en-US"/>
        </w:rPr>
        <w:t xml:space="preserve"> might be excessively surrendered – through a state’s own error in judgement, the deployment of illegitimate external force against the state, or even through a good decision to subscribe to a treaty obligation which subsequently</w:t>
      </w:r>
      <w:r w:rsidR="00347887">
        <w:rPr>
          <w:rFonts w:ascii="Garamond" w:hAnsi="Garamond"/>
          <w:sz w:val="24"/>
          <w:szCs w:val="24"/>
          <w:lang w:val="en-US"/>
        </w:rPr>
        <w:t>,</w:t>
      </w:r>
      <w:r w:rsidR="00347887" w:rsidRPr="00D56AF5">
        <w:rPr>
          <w:rFonts w:ascii="Garamond" w:hAnsi="Garamond"/>
          <w:sz w:val="24"/>
          <w:szCs w:val="24"/>
          <w:lang w:val="en-US"/>
        </w:rPr>
        <w:t xml:space="preserve"> through a change in circumstance</w:t>
      </w:r>
      <w:r w:rsidR="00347887">
        <w:rPr>
          <w:rFonts w:ascii="Garamond" w:hAnsi="Garamond"/>
          <w:sz w:val="24"/>
          <w:szCs w:val="24"/>
          <w:lang w:val="en-US"/>
        </w:rPr>
        <w:t xml:space="preserve">, </w:t>
      </w:r>
      <w:r w:rsidR="00347887" w:rsidRPr="00D56AF5">
        <w:rPr>
          <w:rFonts w:ascii="Garamond" w:hAnsi="Garamond"/>
          <w:sz w:val="24"/>
          <w:szCs w:val="24"/>
          <w:lang w:val="en-US"/>
        </w:rPr>
        <w:t>is no longer coherent with the purposes of a good state. By providing an account of the reasons which bind a state, the service con</w:t>
      </w:r>
      <w:r w:rsidR="00347887">
        <w:rPr>
          <w:rFonts w:ascii="Garamond" w:hAnsi="Garamond"/>
          <w:sz w:val="24"/>
          <w:szCs w:val="24"/>
          <w:lang w:val="en-US"/>
        </w:rPr>
        <w:t>ception</w:t>
      </w:r>
      <w:r w:rsidR="00347887" w:rsidRPr="00D56AF5">
        <w:rPr>
          <w:rFonts w:ascii="Garamond" w:hAnsi="Garamond"/>
          <w:sz w:val="24"/>
          <w:szCs w:val="24"/>
          <w:lang w:val="en-US"/>
        </w:rPr>
        <w:t xml:space="preserve"> offers normative standards to test the content of state obligations. As a result, it c</w:t>
      </w:r>
      <w:r w:rsidR="00347887">
        <w:rPr>
          <w:rFonts w:ascii="Garamond" w:hAnsi="Garamond"/>
          <w:sz w:val="24"/>
          <w:szCs w:val="24"/>
          <w:lang w:val="en-US"/>
        </w:rPr>
        <w:t>an</w:t>
      </w:r>
      <w:r w:rsidR="00347887" w:rsidRPr="00D56AF5">
        <w:rPr>
          <w:rFonts w:ascii="Garamond" w:hAnsi="Garamond"/>
          <w:sz w:val="24"/>
          <w:szCs w:val="24"/>
          <w:lang w:val="en-US"/>
        </w:rPr>
        <w:t xml:space="preserve"> </w:t>
      </w:r>
      <w:r w:rsidR="00347887">
        <w:rPr>
          <w:rFonts w:ascii="Garamond" w:hAnsi="Garamond"/>
          <w:sz w:val="24"/>
          <w:szCs w:val="24"/>
          <w:lang w:val="en-US"/>
        </w:rPr>
        <w:t xml:space="preserve">help </w:t>
      </w:r>
      <w:r w:rsidR="00347887" w:rsidRPr="00D56AF5">
        <w:rPr>
          <w:rFonts w:ascii="Garamond" w:hAnsi="Garamond"/>
          <w:sz w:val="24"/>
          <w:szCs w:val="24"/>
          <w:lang w:val="en-US"/>
        </w:rPr>
        <w:t xml:space="preserve">detect an impending erosion of sovereignty. </w:t>
      </w:r>
    </w:p>
    <w:p w14:paraId="17704531" w14:textId="735A2106" w:rsidR="00707794" w:rsidRPr="00D56AF5" w:rsidRDefault="008D08EA" w:rsidP="001340AF">
      <w:pPr>
        <w:spacing w:after="120" w:line="480" w:lineRule="auto"/>
        <w:jc w:val="both"/>
        <w:rPr>
          <w:rFonts w:ascii="Garamond" w:hAnsi="Garamond"/>
          <w:sz w:val="24"/>
          <w:szCs w:val="24"/>
          <w:lang w:val="en-US"/>
        </w:rPr>
      </w:pPr>
      <w:r>
        <w:rPr>
          <w:rFonts w:ascii="Garamond" w:hAnsi="Garamond"/>
          <w:sz w:val="24"/>
          <w:szCs w:val="24"/>
          <w:lang w:val="en-US"/>
        </w:rPr>
        <w:lastRenderedPageBreak/>
        <w:t>The service conception</w:t>
      </w:r>
      <w:r w:rsidRPr="00D56AF5">
        <w:rPr>
          <w:rFonts w:ascii="Garamond" w:hAnsi="Garamond"/>
          <w:sz w:val="24"/>
          <w:szCs w:val="24"/>
          <w:lang w:val="en-US"/>
        </w:rPr>
        <w:t xml:space="preserve"> offers a better explanation of the varied phenomena and practices of international law.</w:t>
      </w:r>
      <w:r w:rsidR="00D11758" w:rsidRPr="00D56AF5">
        <w:rPr>
          <w:rFonts w:ascii="Garamond" w:hAnsi="Garamond"/>
          <w:sz w:val="24"/>
          <w:szCs w:val="24"/>
          <w:lang w:val="en-US"/>
        </w:rPr>
        <w:t xml:space="preserve"> </w:t>
      </w:r>
      <w:r>
        <w:rPr>
          <w:rFonts w:ascii="Garamond" w:hAnsi="Garamond"/>
          <w:sz w:val="24"/>
          <w:szCs w:val="24"/>
          <w:lang w:val="en-US"/>
        </w:rPr>
        <w:t xml:space="preserve">The </w:t>
      </w:r>
      <w:r w:rsidR="00D11758" w:rsidRPr="00D56AF5">
        <w:rPr>
          <w:rFonts w:ascii="Garamond" w:hAnsi="Garamond"/>
          <w:sz w:val="24"/>
          <w:szCs w:val="24"/>
          <w:lang w:val="en-US"/>
        </w:rPr>
        <w:t xml:space="preserve">consent theory </w:t>
      </w:r>
      <w:r w:rsidR="00C13462" w:rsidRPr="00D56AF5">
        <w:rPr>
          <w:rFonts w:ascii="Garamond" w:hAnsi="Garamond"/>
          <w:sz w:val="24"/>
          <w:szCs w:val="24"/>
          <w:lang w:val="en-US"/>
        </w:rPr>
        <w:t xml:space="preserve">quickly collapses into an idea of </w:t>
      </w:r>
      <w:r w:rsidR="003D45EA" w:rsidRPr="00D56AF5">
        <w:rPr>
          <w:rFonts w:ascii="Garamond" w:hAnsi="Garamond"/>
          <w:sz w:val="24"/>
          <w:szCs w:val="24"/>
          <w:lang w:val="en-US"/>
        </w:rPr>
        <w:t>treaty-making</w:t>
      </w:r>
      <w:r w:rsidR="00C13462" w:rsidRPr="00D56AF5">
        <w:rPr>
          <w:rFonts w:ascii="Garamond" w:hAnsi="Garamond"/>
          <w:sz w:val="24"/>
          <w:szCs w:val="24"/>
          <w:lang w:val="en-US"/>
        </w:rPr>
        <w:t xml:space="preserve"> </w:t>
      </w:r>
      <w:r w:rsidR="00444187" w:rsidRPr="00D56AF5">
        <w:rPr>
          <w:rFonts w:ascii="Garamond" w:hAnsi="Garamond"/>
          <w:sz w:val="24"/>
          <w:szCs w:val="24"/>
          <w:lang w:val="en-US"/>
        </w:rPr>
        <w:t>as</w:t>
      </w:r>
      <w:r w:rsidR="00C13462" w:rsidRPr="00D56AF5">
        <w:rPr>
          <w:rFonts w:ascii="Garamond" w:hAnsi="Garamond"/>
          <w:sz w:val="24"/>
          <w:szCs w:val="24"/>
          <w:lang w:val="en-US"/>
        </w:rPr>
        <w:t xml:space="preserve"> contractual in nature</w:t>
      </w:r>
      <w:r w:rsidR="000A69C0">
        <w:rPr>
          <w:rFonts w:ascii="Garamond" w:hAnsi="Garamond"/>
          <w:sz w:val="24"/>
          <w:szCs w:val="24"/>
          <w:lang w:val="en-US"/>
        </w:rPr>
        <w:t xml:space="preserve">. </w:t>
      </w:r>
      <w:r>
        <w:rPr>
          <w:rFonts w:ascii="Garamond" w:hAnsi="Garamond"/>
          <w:sz w:val="24"/>
          <w:szCs w:val="24"/>
          <w:lang w:val="en-US"/>
        </w:rPr>
        <w:t>But</w:t>
      </w:r>
      <w:r w:rsidR="000A69C0">
        <w:rPr>
          <w:rFonts w:ascii="Garamond" w:hAnsi="Garamond"/>
          <w:sz w:val="24"/>
          <w:szCs w:val="24"/>
          <w:lang w:val="en-US"/>
        </w:rPr>
        <w:t xml:space="preserve"> </w:t>
      </w:r>
      <w:r w:rsidR="0019144E" w:rsidRPr="00D56AF5">
        <w:rPr>
          <w:rFonts w:ascii="Garamond" w:hAnsi="Garamond"/>
          <w:sz w:val="24"/>
          <w:szCs w:val="24"/>
          <w:lang w:val="en-US"/>
        </w:rPr>
        <w:t xml:space="preserve">multilateral treaties have frequently contributed to the </w:t>
      </w:r>
      <w:r w:rsidR="00C35FB3" w:rsidRPr="00D56AF5">
        <w:rPr>
          <w:rFonts w:ascii="Garamond" w:hAnsi="Garamond"/>
          <w:sz w:val="24"/>
          <w:szCs w:val="24"/>
          <w:lang w:val="en-US"/>
        </w:rPr>
        <w:t>formation of customary international law which bind</w:t>
      </w:r>
      <w:r>
        <w:rPr>
          <w:rFonts w:ascii="Garamond" w:hAnsi="Garamond"/>
          <w:sz w:val="24"/>
          <w:szCs w:val="24"/>
          <w:lang w:val="en-US"/>
        </w:rPr>
        <w:t>s</w:t>
      </w:r>
      <w:r w:rsidR="00C35FB3" w:rsidRPr="00D56AF5">
        <w:rPr>
          <w:rFonts w:ascii="Garamond" w:hAnsi="Garamond"/>
          <w:sz w:val="24"/>
          <w:szCs w:val="24"/>
          <w:lang w:val="en-US"/>
        </w:rPr>
        <w:t xml:space="preserve"> states even outside of the</w:t>
      </w:r>
      <w:r w:rsidR="003E0F1F" w:rsidRPr="00D56AF5">
        <w:rPr>
          <w:rFonts w:ascii="Garamond" w:hAnsi="Garamond"/>
          <w:sz w:val="24"/>
          <w:szCs w:val="24"/>
          <w:lang w:val="en-US"/>
        </w:rPr>
        <w:t xml:space="preserve"> </w:t>
      </w:r>
      <w:r w:rsidR="004149C8" w:rsidRPr="00D56AF5">
        <w:rPr>
          <w:rFonts w:ascii="Garamond" w:hAnsi="Garamond"/>
          <w:sz w:val="24"/>
          <w:szCs w:val="24"/>
          <w:lang w:val="en-US"/>
        </w:rPr>
        <w:t xml:space="preserve">corresponding </w:t>
      </w:r>
      <w:r w:rsidR="00C35FB3" w:rsidRPr="00D56AF5">
        <w:rPr>
          <w:rFonts w:ascii="Garamond" w:hAnsi="Garamond"/>
          <w:sz w:val="24"/>
          <w:szCs w:val="24"/>
          <w:lang w:val="en-US"/>
        </w:rPr>
        <w:t>treaty framework.</w:t>
      </w:r>
      <w:r w:rsidR="0019144E" w:rsidRPr="00D56AF5">
        <w:rPr>
          <w:rStyle w:val="FootnoteReference"/>
          <w:rFonts w:ascii="Garamond" w:hAnsi="Garamond"/>
          <w:sz w:val="24"/>
          <w:szCs w:val="24"/>
          <w:lang w:val="en-US"/>
        </w:rPr>
        <w:footnoteReference w:id="107"/>
      </w:r>
      <w:r w:rsidR="00C35FB3" w:rsidRPr="00D56AF5">
        <w:rPr>
          <w:rFonts w:ascii="Garamond" w:hAnsi="Garamond"/>
          <w:sz w:val="24"/>
          <w:szCs w:val="24"/>
          <w:lang w:val="en-US"/>
        </w:rPr>
        <w:t xml:space="preserve"> </w:t>
      </w:r>
      <w:r>
        <w:rPr>
          <w:rFonts w:ascii="Garamond" w:hAnsi="Garamond"/>
          <w:sz w:val="24"/>
          <w:szCs w:val="24"/>
          <w:lang w:val="en-US"/>
        </w:rPr>
        <w:t xml:space="preserve">Hence, </w:t>
      </w:r>
      <w:r w:rsidR="000250EE" w:rsidRPr="00D56AF5">
        <w:rPr>
          <w:rFonts w:ascii="Garamond" w:hAnsi="Garamond"/>
          <w:sz w:val="24"/>
          <w:szCs w:val="24"/>
          <w:lang w:val="en-US"/>
        </w:rPr>
        <w:t>multilateral treaties have juris-generative aspects more akin to legislating</w:t>
      </w:r>
      <w:r w:rsidR="000A69C0">
        <w:rPr>
          <w:rFonts w:ascii="Garamond" w:hAnsi="Garamond"/>
          <w:sz w:val="24"/>
          <w:szCs w:val="24"/>
          <w:lang w:val="en-US"/>
        </w:rPr>
        <w:t>, than to contractual arrangements among individuals</w:t>
      </w:r>
      <w:r w:rsidR="000250EE" w:rsidRPr="00D56AF5">
        <w:rPr>
          <w:rFonts w:ascii="Garamond" w:hAnsi="Garamond"/>
          <w:sz w:val="24"/>
          <w:szCs w:val="24"/>
          <w:lang w:val="en-US"/>
        </w:rPr>
        <w:t>.</w:t>
      </w:r>
      <w:r w:rsidR="000250EE" w:rsidRPr="00D56AF5">
        <w:rPr>
          <w:rStyle w:val="FootnoteReference"/>
          <w:rFonts w:ascii="Garamond" w:hAnsi="Garamond"/>
          <w:sz w:val="24"/>
          <w:szCs w:val="24"/>
          <w:lang w:val="en-US"/>
        </w:rPr>
        <w:footnoteReference w:id="108"/>
      </w:r>
    </w:p>
    <w:p w14:paraId="189E2836" w14:textId="576731D6" w:rsidR="00BB4366" w:rsidRPr="00D56AF5" w:rsidRDefault="008D08EA" w:rsidP="001340AF">
      <w:pPr>
        <w:spacing w:after="120" w:line="480" w:lineRule="auto"/>
        <w:jc w:val="both"/>
        <w:rPr>
          <w:rFonts w:ascii="Garamond" w:hAnsi="Garamond"/>
          <w:sz w:val="24"/>
          <w:szCs w:val="24"/>
          <w:lang w:val="en-US"/>
        </w:rPr>
      </w:pPr>
      <w:r>
        <w:rPr>
          <w:rFonts w:ascii="Garamond" w:hAnsi="Garamond"/>
          <w:sz w:val="24"/>
          <w:szCs w:val="24"/>
          <w:lang w:val="en-US"/>
        </w:rPr>
        <w:t>The service conception</w:t>
      </w:r>
      <w:r w:rsidR="00651FDE" w:rsidRPr="00D56AF5">
        <w:rPr>
          <w:rFonts w:ascii="Garamond" w:hAnsi="Garamond"/>
          <w:sz w:val="24"/>
          <w:szCs w:val="24"/>
          <w:lang w:val="en-US"/>
        </w:rPr>
        <w:t xml:space="preserve"> account</w:t>
      </w:r>
      <w:r w:rsidR="00306051" w:rsidRPr="00D56AF5">
        <w:rPr>
          <w:rFonts w:ascii="Garamond" w:hAnsi="Garamond"/>
          <w:sz w:val="24"/>
          <w:szCs w:val="24"/>
          <w:lang w:val="en-US"/>
        </w:rPr>
        <w:t>s</w:t>
      </w:r>
      <w:r w:rsidR="00651FDE" w:rsidRPr="00D56AF5">
        <w:rPr>
          <w:rFonts w:ascii="Garamond" w:hAnsi="Garamond"/>
          <w:sz w:val="24"/>
          <w:szCs w:val="24"/>
          <w:lang w:val="en-US"/>
        </w:rPr>
        <w:t xml:space="preserve"> for </w:t>
      </w:r>
      <w:r w:rsidR="003B44BE" w:rsidRPr="00D56AF5">
        <w:rPr>
          <w:rFonts w:ascii="Garamond" w:hAnsi="Garamond"/>
          <w:sz w:val="24"/>
          <w:szCs w:val="24"/>
          <w:lang w:val="en-US"/>
        </w:rPr>
        <w:t>why jus cogens norms, which may have emerged with</w:t>
      </w:r>
      <w:r>
        <w:rPr>
          <w:rFonts w:ascii="Garamond" w:hAnsi="Garamond"/>
          <w:sz w:val="24"/>
          <w:szCs w:val="24"/>
          <w:lang w:val="en-US"/>
        </w:rPr>
        <w:t>out</w:t>
      </w:r>
      <w:r w:rsidR="003B44BE" w:rsidRPr="00D56AF5">
        <w:rPr>
          <w:rFonts w:ascii="Garamond" w:hAnsi="Garamond"/>
          <w:sz w:val="24"/>
          <w:szCs w:val="24"/>
          <w:lang w:val="en-US"/>
        </w:rPr>
        <w:t xml:space="preserve"> the specific consent of </w:t>
      </w:r>
      <w:r>
        <w:rPr>
          <w:rFonts w:ascii="Garamond" w:hAnsi="Garamond"/>
          <w:sz w:val="24"/>
          <w:szCs w:val="24"/>
          <w:lang w:val="en-US"/>
        </w:rPr>
        <w:t xml:space="preserve">some </w:t>
      </w:r>
      <w:r w:rsidR="003B44BE" w:rsidRPr="00D56AF5">
        <w:rPr>
          <w:rFonts w:ascii="Garamond" w:hAnsi="Garamond"/>
          <w:sz w:val="24"/>
          <w:szCs w:val="24"/>
          <w:lang w:val="en-US"/>
        </w:rPr>
        <w:t>state</w:t>
      </w:r>
      <w:r>
        <w:rPr>
          <w:rFonts w:ascii="Garamond" w:hAnsi="Garamond"/>
          <w:sz w:val="24"/>
          <w:szCs w:val="24"/>
          <w:lang w:val="en-US"/>
        </w:rPr>
        <w:t>s</w:t>
      </w:r>
      <w:r w:rsidR="001F347D" w:rsidRPr="00D56AF5">
        <w:rPr>
          <w:rFonts w:ascii="Garamond" w:hAnsi="Garamond"/>
          <w:sz w:val="24"/>
          <w:szCs w:val="24"/>
          <w:lang w:val="en-US"/>
        </w:rPr>
        <w:t>, can still authoritatively bind th</w:t>
      </w:r>
      <w:r>
        <w:rPr>
          <w:rFonts w:ascii="Garamond" w:hAnsi="Garamond"/>
          <w:sz w:val="24"/>
          <w:szCs w:val="24"/>
          <w:lang w:val="en-US"/>
        </w:rPr>
        <w:t>ose</w:t>
      </w:r>
      <w:r w:rsidR="001F347D" w:rsidRPr="00D56AF5">
        <w:rPr>
          <w:rFonts w:ascii="Garamond" w:hAnsi="Garamond"/>
          <w:sz w:val="24"/>
          <w:szCs w:val="24"/>
          <w:lang w:val="en-US"/>
        </w:rPr>
        <w:t xml:space="preserve"> state</w:t>
      </w:r>
      <w:r>
        <w:rPr>
          <w:rFonts w:ascii="Garamond" w:hAnsi="Garamond"/>
          <w:sz w:val="24"/>
          <w:szCs w:val="24"/>
          <w:lang w:val="en-US"/>
        </w:rPr>
        <w:t>s</w:t>
      </w:r>
      <w:r w:rsidR="001F347D" w:rsidRPr="00D56AF5">
        <w:rPr>
          <w:rFonts w:ascii="Garamond" w:hAnsi="Garamond"/>
          <w:sz w:val="24"/>
          <w:szCs w:val="24"/>
          <w:lang w:val="en-US"/>
        </w:rPr>
        <w:t xml:space="preserve"> through the operation of </w:t>
      </w:r>
      <w:r>
        <w:rPr>
          <w:rFonts w:ascii="Garamond" w:hAnsi="Garamond"/>
          <w:sz w:val="24"/>
          <w:szCs w:val="24"/>
          <w:lang w:val="en-US"/>
        </w:rPr>
        <w:t>their</w:t>
      </w:r>
      <w:r w:rsidR="001F347D" w:rsidRPr="00D56AF5">
        <w:rPr>
          <w:rFonts w:ascii="Garamond" w:hAnsi="Garamond"/>
          <w:sz w:val="24"/>
          <w:szCs w:val="24"/>
          <w:lang w:val="en-US"/>
        </w:rPr>
        <w:t xml:space="preserve"> substantive moral justification</w:t>
      </w:r>
      <w:r>
        <w:rPr>
          <w:rFonts w:ascii="Garamond" w:hAnsi="Garamond"/>
          <w:sz w:val="24"/>
          <w:szCs w:val="24"/>
          <w:lang w:val="en-US"/>
        </w:rPr>
        <w:t>s</w:t>
      </w:r>
      <w:r w:rsidR="001F347D" w:rsidRPr="00D56AF5">
        <w:rPr>
          <w:rFonts w:ascii="Garamond" w:hAnsi="Garamond"/>
          <w:sz w:val="24"/>
          <w:szCs w:val="24"/>
          <w:lang w:val="en-US"/>
        </w:rPr>
        <w:t xml:space="preserve">. </w:t>
      </w:r>
      <w:r w:rsidR="00C94237" w:rsidRPr="00D56AF5">
        <w:rPr>
          <w:rFonts w:ascii="Garamond" w:hAnsi="Garamond"/>
          <w:sz w:val="24"/>
          <w:szCs w:val="24"/>
          <w:lang w:val="en-US"/>
        </w:rPr>
        <w:t xml:space="preserve">It reflects the contemporary ‘humanized’ conception of sovereignty, embodied in doctrines such as the responsibility to protect, where sovereignty </w:t>
      </w:r>
      <w:r w:rsidR="00E8389E" w:rsidRPr="00D56AF5">
        <w:rPr>
          <w:rFonts w:ascii="Garamond" w:hAnsi="Garamond"/>
          <w:sz w:val="24"/>
          <w:szCs w:val="24"/>
          <w:lang w:val="en-US"/>
        </w:rPr>
        <w:t xml:space="preserve">is accorded an output legitimacy on the basis of how the state uses </w:t>
      </w:r>
      <w:r w:rsidR="00FD26F0" w:rsidRPr="00D56AF5">
        <w:rPr>
          <w:rFonts w:ascii="Garamond" w:hAnsi="Garamond"/>
          <w:sz w:val="24"/>
          <w:szCs w:val="24"/>
          <w:lang w:val="en-US"/>
        </w:rPr>
        <w:t xml:space="preserve">its </w:t>
      </w:r>
      <w:r w:rsidR="00E8389E" w:rsidRPr="00D56AF5">
        <w:rPr>
          <w:rFonts w:ascii="Garamond" w:hAnsi="Garamond"/>
          <w:sz w:val="24"/>
          <w:szCs w:val="24"/>
          <w:lang w:val="en-US"/>
        </w:rPr>
        <w:t>sovereign powers to discharge its functions towards state subjects</w:t>
      </w:r>
      <w:r w:rsidR="00FF2020" w:rsidRPr="00D56AF5">
        <w:rPr>
          <w:rFonts w:ascii="Garamond" w:hAnsi="Garamond"/>
          <w:sz w:val="24"/>
          <w:szCs w:val="24"/>
          <w:lang w:val="en-US"/>
        </w:rPr>
        <w:t>.</w:t>
      </w:r>
      <w:r w:rsidR="00FF2020" w:rsidRPr="00D56AF5">
        <w:rPr>
          <w:rStyle w:val="FootnoteReference"/>
          <w:rFonts w:ascii="Garamond" w:hAnsi="Garamond"/>
          <w:sz w:val="24"/>
          <w:szCs w:val="24"/>
          <w:lang w:val="en-US"/>
        </w:rPr>
        <w:footnoteReference w:id="109"/>
      </w:r>
      <w:r w:rsidR="00FF2020" w:rsidRPr="00D56AF5">
        <w:rPr>
          <w:rFonts w:ascii="Garamond" w:hAnsi="Garamond"/>
          <w:sz w:val="24"/>
          <w:szCs w:val="24"/>
          <w:lang w:val="en-US"/>
        </w:rPr>
        <w:t xml:space="preserve"> </w:t>
      </w:r>
      <w:r w:rsidR="00BB4366" w:rsidRPr="00D56AF5">
        <w:rPr>
          <w:rFonts w:ascii="Garamond" w:hAnsi="Garamond"/>
          <w:sz w:val="24"/>
          <w:szCs w:val="24"/>
          <w:lang w:val="en-US"/>
        </w:rPr>
        <w:t xml:space="preserve">It explains when, on a balance of reasons, </w:t>
      </w:r>
      <w:r>
        <w:rPr>
          <w:rFonts w:ascii="Garamond" w:hAnsi="Garamond"/>
          <w:sz w:val="24"/>
          <w:szCs w:val="24"/>
          <w:lang w:val="en-US"/>
        </w:rPr>
        <w:t xml:space="preserve">it may </w:t>
      </w:r>
      <w:r w:rsidR="00BB4366" w:rsidRPr="00D56AF5">
        <w:rPr>
          <w:rFonts w:ascii="Garamond" w:hAnsi="Garamond"/>
          <w:sz w:val="24"/>
          <w:szCs w:val="24"/>
          <w:lang w:val="en-US"/>
        </w:rPr>
        <w:t>be valu</w:t>
      </w:r>
      <w:r>
        <w:rPr>
          <w:rFonts w:ascii="Garamond" w:hAnsi="Garamond"/>
          <w:sz w:val="24"/>
          <w:szCs w:val="24"/>
          <w:lang w:val="en-US"/>
        </w:rPr>
        <w:t xml:space="preserve">able for a </w:t>
      </w:r>
      <w:r w:rsidR="00BB4366" w:rsidRPr="00D56AF5">
        <w:rPr>
          <w:rFonts w:ascii="Garamond" w:hAnsi="Garamond"/>
          <w:sz w:val="24"/>
          <w:szCs w:val="24"/>
          <w:lang w:val="en-US"/>
        </w:rPr>
        <w:t xml:space="preserve">state </w:t>
      </w:r>
      <w:r>
        <w:rPr>
          <w:rFonts w:ascii="Garamond" w:hAnsi="Garamond"/>
          <w:sz w:val="24"/>
          <w:szCs w:val="24"/>
          <w:lang w:val="en-US"/>
        </w:rPr>
        <w:t xml:space="preserve">to </w:t>
      </w:r>
      <w:r w:rsidR="00BB4366" w:rsidRPr="00D56AF5">
        <w:rPr>
          <w:rFonts w:ascii="Garamond" w:hAnsi="Garamond"/>
          <w:sz w:val="24"/>
          <w:szCs w:val="24"/>
          <w:lang w:val="en-US"/>
        </w:rPr>
        <w:t xml:space="preserve">comply with </w:t>
      </w:r>
      <w:r w:rsidR="00E23F36" w:rsidRPr="00D56AF5">
        <w:rPr>
          <w:rFonts w:ascii="Garamond" w:hAnsi="Garamond"/>
          <w:sz w:val="24"/>
          <w:szCs w:val="24"/>
          <w:lang w:val="en-US"/>
        </w:rPr>
        <w:t xml:space="preserve">customary international law </w:t>
      </w:r>
      <w:r w:rsidR="00BB4366" w:rsidRPr="00D56AF5">
        <w:rPr>
          <w:rFonts w:ascii="Garamond" w:hAnsi="Garamond"/>
          <w:sz w:val="24"/>
          <w:szCs w:val="24"/>
          <w:lang w:val="en-US"/>
        </w:rPr>
        <w:t>that does not neatly align with its will or interests. One of the foremost content-independent</w:t>
      </w:r>
      <w:r w:rsidR="00915CCB" w:rsidRPr="00D56AF5">
        <w:rPr>
          <w:rFonts w:ascii="Garamond" w:hAnsi="Garamond"/>
          <w:sz w:val="24"/>
          <w:szCs w:val="24"/>
          <w:lang w:val="en-US"/>
        </w:rPr>
        <w:t>, exclusionary</w:t>
      </w:r>
      <w:r w:rsidR="00BB4366" w:rsidRPr="00D56AF5">
        <w:rPr>
          <w:rFonts w:ascii="Garamond" w:hAnsi="Garamond"/>
          <w:sz w:val="24"/>
          <w:szCs w:val="24"/>
          <w:lang w:val="en-US"/>
        </w:rPr>
        <w:t xml:space="preserve"> reasons to comply with international law </w:t>
      </w:r>
      <w:r w:rsidR="002C0774">
        <w:rPr>
          <w:rFonts w:ascii="Garamond" w:hAnsi="Garamond"/>
          <w:sz w:val="24"/>
          <w:szCs w:val="24"/>
          <w:lang w:val="en-US"/>
        </w:rPr>
        <w:t xml:space="preserve">is securing </w:t>
      </w:r>
      <w:r w:rsidR="00BB4366" w:rsidRPr="00D56AF5">
        <w:rPr>
          <w:rFonts w:ascii="Garamond" w:hAnsi="Garamond"/>
          <w:sz w:val="24"/>
          <w:szCs w:val="24"/>
          <w:lang w:val="en-US"/>
        </w:rPr>
        <w:t>democratic coordination among states on issues of common concern.</w:t>
      </w:r>
      <w:r w:rsidR="00BB4366" w:rsidRPr="00D56AF5">
        <w:rPr>
          <w:rStyle w:val="FootnoteReference"/>
          <w:rFonts w:ascii="Garamond" w:hAnsi="Garamond"/>
          <w:sz w:val="24"/>
          <w:szCs w:val="24"/>
          <w:lang w:val="en-US"/>
        </w:rPr>
        <w:footnoteReference w:id="110"/>
      </w:r>
    </w:p>
    <w:p w14:paraId="493C9DE8" w14:textId="1BBB566B" w:rsidR="000F1941" w:rsidRPr="00D56AF5" w:rsidRDefault="00E16E17"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It even </w:t>
      </w:r>
      <w:r w:rsidR="00B743EF" w:rsidRPr="00D56AF5">
        <w:rPr>
          <w:rFonts w:ascii="Garamond" w:hAnsi="Garamond"/>
          <w:sz w:val="24"/>
          <w:szCs w:val="24"/>
          <w:lang w:val="en-US"/>
        </w:rPr>
        <w:t xml:space="preserve">captures </w:t>
      </w:r>
      <w:r w:rsidR="00337650" w:rsidRPr="00D56AF5">
        <w:rPr>
          <w:rFonts w:ascii="Garamond" w:hAnsi="Garamond"/>
          <w:sz w:val="24"/>
          <w:szCs w:val="24"/>
          <w:lang w:val="en-US"/>
        </w:rPr>
        <w:t xml:space="preserve">how </w:t>
      </w:r>
      <w:r w:rsidRPr="00D56AF5">
        <w:rPr>
          <w:rFonts w:ascii="Garamond" w:hAnsi="Garamond"/>
          <w:sz w:val="24"/>
          <w:szCs w:val="24"/>
          <w:lang w:val="en-US"/>
        </w:rPr>
        <w:t>trade-offs in competences do not amount to a diminution in sovereignty</w:t>
      </w:r>
      <w:r w:rsidR="000B7324" w:rsidRPr="00D56AF5">
        <w:rPr>
          <w:rFonts w:ascii="Garamond" w:hAnsi="Garamond"/>
          <w:sz w:val="24"/>
          <w:szCs w:val="24"/>
          <w:lang w:val="en-US"/>
        </w:rPr>
        <w:t xml:space="preserve">. Under this conception, </w:t>
      </w:r>
      <w:r w:rsidR="009A576C" w:rsidRPr="00D56AF5">
        <w:rPr>
          <w:rFonts w:ascii="Garamond" w:hAnsi="Garamond"/>
          <w:sz w:val="24"/>
          <w:szCs w:val="24"/>
          <w:lang w:val="en-US"/>
        </w:rPr>
        <w:t xml:space="preserve">the encroachment of international </w:t>
      </w:r>
      <w:r w:rsidR="00616B90" w:rsidRPr="00D56AF5">
        <w:rPr>
          <w:rFonts w:ascii="Garamond" w:hAnsi="Garamond"/>
          <w:sz w:val="24"/>
          <w:szCs w:val="24"/>
          <w:lang w:val="en-US"/>
        </w:rPr>
        <w:t>law in the sphere of internal sovereignty, for example</w:t>
      </w:r>
      <w:r w:rsidR="00FD4D22" w:rsidRPr="00D56AF5">
        <w:rPr>
          <w:rFonts w:ascii="Garamond" w:hAnsi="Garamond"/>
          <w:sz w:val="24"/>
          <w:szCs w:val="24"/>
          <w:lang w:val="en-US"/>
        </w:rPr>
        <w:t>,</w:t>
      </w:r>
      <w:r w:rsidR="00616B90" w:rsidRPr="00D56AF5">
        <w:rPr>
          <w:rFonts w:ascii="Garamond" w:hAnsi="Garamond"/>
          <w:sz w:val="24"/>
          <w:szCs w:val="24"/>
          <w:lang w:val="en-US"/>
        </w:rPr>
        <w:t xml:space="preserve"> by setting human rights standards, does not signify a loss </w:t>
      </w:r>
      <w:r w:rsidR="008D08EA">
        <w:rPr>
          <w:rFonts w:ascii="Garamond" w:hAnsi="Garamond"/>
          <w:sz w:val="24"/>
          <w:szCs w:val="24"/>
          <w:lang w:val="en-US"/>
        </w:rPr>
        <w:t xml:space="preserve">of </w:t>
      </w:r>
      <w:r w:rsidR="00616B90" w:rsidRPr="00D56AF5">
        <w:rPr>
          <w:rFonts w:ascii="Garamond" w:hAnsi="Garamond"/>
          <w:sz w:val="24"/>
          <w:szCs w:val="24"/>
          <w:lang w:val="en-US"/>
        </w:rPr>
        <w:t>sovereignty</w:t>
      </w:r>
      <w:r w:rsidR="00D4551A" w:rsidRPr="00D56AF5">
        <w:rPr>
          <w:rFonts w:ascii="Garamond" w:hAnsi="Garamond"/>
          <w:sz w:val="24"/>
          <w:szCs w:val="24"/>
          <w:lang w:val="en-US"/>
        </w:rPr>
        <w:t>.</w:t>
      </w:r>
      <w:r w:rsidR="00616B90" w:rsidRPr="00D56AF5">
        <w:rPr>
          <w:rFonts w:ascii="Garamond" w:hAnsi="Garamond"/>
          <w:sz w:val="24"/>
          <w:szCs w:val="24"/>
          <w:lang w:val="en-US"/>
        </w:rPr>
        <w:t xml:space="preserve"> </w:t>
      </w:r>
      <w:r w:rsidR="00D4551A" w:rsidRPr="00D56AF5">
        <w:rPr>
          <w:rFonts w:ascii="Garamond" w:hAnsi="Garamond"/>
          <w:sz w:val="24"/>
          <w:szCs w:val="24"/>
          <w:lang w:val="en-US"/>
        </w:rPr>
        <w:t xml:space="preserve">Rather, a </w:t>
      </w:r>
      <w:r w:rsidR="00616B90" w:rsidRPr="00D56AF5">
        <w:rPr>
          <w:rFonts w:ascii="Garamond" w:hAnsi="Garamond"/>
          <w:sz w:val="24"/>
          <w:szCs w:val="24"/>
          <w:lang w:val="en-US"/>
        </w:rPr>
        <w:t xml:space="preserve">restriction in </w:t>
      </w:r>
      <w:r w:rsidR="000B7324" w:rsidRPr="00D56AF5">
        <w:rPr>
          <w:rFonts w:ascii="Garamond" w:hAnsi="Garamond"/>
          <w:sz w:val="24"/>
          <w:szCs w:val="24"/>
          <w:lang w:val="en-US"/>
        </w:rPr>
        <w:t xml:space="preserve">how </w:t>
      </w:r>
      <w:r w:rsidR="00616B90" w:rsidRPr="00D56AF5">
        <w:rPr>
          <w:rFonts w:ascii="Garamond" w:hAnsi="Garamond"/>
          <w:sz w:val="24"/>
          <w:szCs w:val="24"/>
          <w:lang w:val="en-US"/>
        </w:rPr>
        <w:t xml:space="preserve">autonomy </w:t>
      </w:r>
      <w:r w:rsidR="00CF1A55" w:rsidRPr="00D56AF5">
        <w:rPr>
          <w:rFonts w:ascii="Garamond" w:hAnsi="Garamond"/>
          <w:sz w:val="24"/>
          <w:szCs w:val="24"/>
          <w:lang w:val="en-US"/>
        </w:rPr>
        <w:t>can be exercised,</w:t>
      </w:r>
      <w:r w:rsidR="00D4551A" w:rsidRPr="00D56AF5">
        <w:rPr>
          <w:rFonts w:ascii="Garamond" w:hAnsi="Garamond"/>
          <w:sz w:val="24"/>
          <w:szCs w:val="24"/>
          <w:lang w:val="en-US"/>
        </w:rPr>
        <w:t xml:space="preserve"> furthers the good of the political community, both by procuring </w:t>
      </w:r>
      <w:r w:rsidR="00CF1A55" w:rsidRPr="00D56AF5">
        <w:rPr>
          <w:rFonts w:ascii="Garamond" w:hAnsi="Garamond"/>
          <w:sz w:val="24"/>
          <w:szCs w:val="24"/>
          <w:lang w:val="en-US"/>
        </w:rPr>
        <w:t xml:space="preserve">increased </w:t>
      </w:r>
      <w:r w:rsidR="00616B90" w:rsidRPr="00D56AF5">
        <w:rPr>
          <w:rFonts w:ascii="Garamond" w:hAnsi="Garamond"/>
          <w:sz w:val="24"/>
          <w:szCs w:val="24"/>
          <w:lang w:val="en-US"/>
        </w:rPr>
        <w:t>participation rights</w:t>
      </w:r>
      <w:r w:rsidR="00FF2020" w:rsidRPr="00D56AF5">
        <w:rPr>
          <w:rFonts w:ascii="Garamond" w:hAnsi="Garamond"/>
          <w:sz w:val="24"/>
          <w:szCs w:val="24"/>
          <w:lang w:val="en-US"/>
        </w:rPr>
        <w:t xml:space="preserve"> at the international level</w:t>
      </w:r>
      <w:r w:rsidR="00D4551A" w:rsidRPr="00D56AF5">
        <w:rPr>
          <w:rFonts w:ascii="Garamond" w:hAnsi="Garamond"/>
          <w:sz w:val="24"/>
          <w:szCs w:val="24"/>
          <w:lang w:val="en-US"/>
        </w:rPr>
        <w:t xml:space="preserve"> for the state, </w:t>
      </w:r>
      <w:r w:rsidR="00844EED" w:rsidRPr="00D56AF5">
        <w:rPr>
          <w:rFonts w:ascii="Garamond" w:hAnsi="Garamond"/>
          <w:sz w:val="24"/>
          <w:szCs w:val="24"/>
          <w:lang w:val="en-US"/>
        </w:rPr>
        <w:t xml:space="preserve">and </w:t>
      </w:r>
      <w:r w:rsidR="00D4551A" w:rsidRPr="00D56AF5">
        <w:rPr>
          <w:rFonts w:ascii="Garamond" w:hAnsi="Garamond"/>
          <w:sz w:val="24"/>
          <w:szCs w:val="24"/>
          <w:lang w:val="en-US"/>
        </w:rPr>
        <w:t xml:space="preserve">by </w:t>
      </w:r>
      <w:r w:rsidR="00FA7A12" w:rsidRPr="00D56AF5">
        <w:rPr>
          <w:rFonts w:ascii="Garamond" w:hAnsi="Garamond"/>
          <w:sz w:val="24"/>
          <w:szCs w:val="24"/>
          <w:lang w:val="en-US"/>
        </w:rPr>
        <w:t>promoting</w:t>
      </w:r>
      <w:r w:rsidR="00D4551A" w:rsidRPr="00D56AF5">
        <w:rPr>
          <w:rFonts w:ascii="Garamond" w:hAnsi="Garamond"/>
          <w:sz w:val="24"/>
          <w:szCs w:val="24"/>
          <w:lang w:val="en-US"/>
        </w:rPr>
        <w:t xml:space="preserve"> </w:t>
      </w:r>
      <w:r w:rsidR="00FA7A12" w:rsidRPr="00D56AF5">
        <w:rPr>
          <w:rFonts w:ascii="Garamond" w:hAnsi="Garamond"/>
          <w:sz w:val="24"/>
          <w:szCs w:val="24"/>
          <w:lang w:val="en-US"/>
        </w:rPr>
        <w:lastRenderedPageBreak/>
        <w:t>the respect of human rights.</w:t>
      </w:r>
      <w:r w:rsidR="00FF2020" w:rsidRPr="00D56AF5">
        <w:rPr>
          <w:rStyle w:val="FootnoteReference"/>
          <w:rFonts w:ascii="Garamond" w:hAnsi="Garamond"/>
          <w:sz w:val="24"/>
          <w:szCs w:val="24"/>
          <w:lang w:val="en-US"/>
        </w:rPr>
        <w:footnoteReference w:id="111"/>
      </w:r>
      <w:r w:rsidR="00FF2020" w:rsidRPr="00D56AF5">
        <w:rPr>
          <w:rFonts w:ascii="Garamond" w:hAnsi="Garamond"/>
          <w:sz w:val="24"/>
          <w:szCs w:val="24"/>
          <w:lang w:val="en-US"/>
        </w:rPr>
        <w:t xml:space="preserve">  </w:t>
      </w:r>
      <w:r w:rsidR="000F1941" w:rsidRPr="00D56AF5">
        <w:rPr>
          <w:rFonts w:ascii="Garamond" w:hAnsi="Garamond"/>
          <w:sz w:val="24"/>
          <w:szCs w:val="24"/>
          <w:lang w:val="en-US"/>
        </w:rPr>
        <w:t>It recognizes that while consent is an important part of the creation of international law, and it could increase the legitimacy of international law, it does not explain its authority per se.</w:t>
      </w:r>
      <w:r w:rsidR="000F1941" w:rsidRPr="00D56AF5">
        <w:rPr>
          <w:rStyle w:val="FootnoteReference"/>
          <w:rFonts w:ascii="Garamond" w:hAnsi="Garamond"/>
          <w:sz w:val="24"/>
          <w:szCs w:val="24"/>
          <w:lang w:val="en-US"/>
        </w:rPr>
        <w:t xml:space="preserve"> </w:t>
      </w:r>
      <w:r w:rsidR="000F1941" w:rsidRPr="00D56AF5">
        <w:rPr>
          <w:rStyle w:val="FootnoteReference"/>
          <w:rFonts w:ascii="Garamond" w:hAnsi="Garamond"/>
          <w:sz w:val="24"/>
          <w:szCs w:val="24"/>
          <w:lang w:val="en-US"/>
        </w:rPr>
        <w:footnoteReference w:id="112"/>
      </w:r>
      <w:r w:rsidR="000F1941" w:rsidRPr="00D56AF5">
        <w:rPr>
          <w:rFonts w:ascii="Garamond" w:hAnsi="Garamond"/>
          <w:sz w:val="24"/>
          <w:szCs w:val="24"/>
          <w:lang w:val="en-US"/>
        </w:rPr>
        <w:t xml:space="preserve">  </w:t>
      </w:r>
    </w:p>
    <w:p w14:paraId="7D3D3425" w14:textId="4B79779B" w:rsidR="0063338D" w:rsidRPr="00D56AF5" w:rsidRDefault="0063338D"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Further, it tackles the proceduralist objection </w:t>
      </w:r>
      <w:r w:rsidR="00694845" w:rsidRPr="00D56AF5">
        <w:rPr>
          <w:rFonts w:ascii="Garamond" w:hAnsi="Garamond"/>
          <w:sz w:val="24"/>
          <w:szCs w:val="24"/>
          <w:lang w:val="en-US"/>
        </w:rPr>
        <w:t>th</w:t>
      </w:r>
      <w:r w:rsidR="00CE7865" w:rsidRPr="00D56AF5">
        <w:rPr>
          <w:rFonts w:ascii="Garamond" w:hAnsi="Garamond"/>
          <w:sz w:val="24"/>
          <w:szCs w:val="24"/>
          <w:lang w:val="en-US"/>
        </w:rPr>
        <w:t>at</w:t>
      </w:r>
      <w:r w:rsidR="003F2149" w:rsidRPr="00D56AF5">
        <w:rPr>
          <w:rFonts w:ascii="Garamond" w:hAnsi="Garamond"/>
          <w:sz w:val="24"/>
          <w:szCs w:val="24"/>
          <w:lang w:val="en-US"/>
        </w:rPr>
        <w:t xml:space="preserve"> the</w:t>
      </w:r>
      <w:r w:rsidR="00694845" w:rsidRPr="00D56AF5">
        <w:rPr>
          <w:rFonts w:ascii="Garamond" w:hAnsi="Garamond"/>
          <w:sz w:val="24"/>
          <w:szCs w:val="24"/>
          <w:lang w:val="en-US"/>
        </w:rPr>
        <w:t xml:space="preserve"> NJT only explains authority if it </w:t>
      </w:r>
      <w:r w:rsidR="009952A5" w:rsidRPr="00D56AF5">
        <w:rPr>
          <w:rFonts w:ascii="Garamond" w:hAnsi="Garamond"/>
          <w:sz w:val="24"/>
          <w:szCs w:val="24"/>
          <w:lang w:val="en-US"/>
        </w:rPr>
        <w:t xml:space="preserve">improves the subject’s conformity to reason </w:t>
      </w:r>
      <w:r w:rsidR="00B47359" w:rsidRPr="00D56AF5">
        <w:rPr>
          <w:rFonts w:ascii="Garamond" w:hAnsi="Garamond"/>
          <w:sz w:val="24"/>
          <w:szCs w:val="24"/>
          <w:lang w:val="en-US"/>
        </w:rPr>
        <w:t>in terms of the matter the directive regards.</w:t>
      </w:r>
      <w:r w:rsidR="00B47359" w:rsidRPr="00D56AF5">
        <w:rPr>
          <w:rStyle w:val="FootnoteReference"/>
          <w:rFonts w:ascii="Garamond" w:hAnsi="Garamond"/>
          <w:sz w:val="24"/>
          <w:szCs w:val="24"/>
          <w:lang w:val="en-US"/>
        </w:rPr>
        <w:footnoteReference w:id="113"/>
      </w:r>
      <w:r w:rsidR="0066226C" w:rsidRPr="00D56AF5">
        <w:rPr>
          <w:rFonts w:ascii="Garamond" w:hAnsi="Garamond"/>
          <w:sz w:val="24"/>
          <w:szCs w:val="24"/>
          <w:lang w:val="en-US"/>
        </w:rPr>
        <w:t xml:space="preserve"> Raz clarifies that the NJT </w:t>
      </w:r>
      <w:r w:rsidR="00251FD0" w:rsidRPr="00D56AF5">
        <w:rPr>
          <w:rFonts w:ascii="Garamond" w:hAnsi="Garamond"/>
          <w:sz w:val="24"/>
          <w:szCs w:val="24"/>
          <w:lang w:val="en-US"/>
        </w:rPr>
        <w:t xml:space="preserve">may be satisfied if on the balance of reasons, it is more important to render obedience </w:t>
      </w:r>
      <w:r w:rsidR="003F61EB" w:rsidRPr="00D56AF5">
        <w:rPr>
          <w:rFonts w:ascii="Garamond" w:hAnsi="Garamond"/>
          <w:sz w:val="24"/>
          <w:szCs w:val="24"/>
          <w:lang w:val="en-US"/>
        </w:rPr>
        <w:t xml:space="preserve">to an institution </w:t>
      </w:r>
      <w:r w:rsidR="00251FD0" w:rsidRPr="00D56AF5">
        <w:rPr>
          <w:rFonts w:ascii="Garamond" w:hAnsi="Garamond"/>
          <w:sz w:val="24"/>
          <w:szCs w:val="24"/>
          <w:lang w:val="en-US"/>
        </w:rPr>
        <w:t>than to take a specific substantive stance.</w:t>
      </w:r>
      <w:r w:rsidR="00B831D5" w:rsidRPr="00D56AF5">
        <w:rPr>
          <w:rStyle w:val="FootnoteReference"/>
          <w:rFonts w:ascii="Garamond" w:hAnsi="Garamond"/>
          <w:sz w:val="24"/>
          <w:szCs w:val="24"/>
          <w:lang w:val="en-US"/>
        </w:rPr>
        <w:footnoteReference w:id="114"/>
      </w:r>
      <w:r w:rsidR="00251FD0" w:rsidRPr="00D56AF5">
        <w:rPr>
          <w:rFonts w:ascii="Garamond" w:hAnsi="Garamond"/>
          <w:sz w:val="24"/>
          <w:szCs w:val="24"/>
          <w:lang w:val="en-US"/>
        </w:rPr>
        <w:t xml:space="preserve"> </w:t>
      </w:r>
      <w:r w:rsidR="00DC6A6F" w:rsidRPr="00D56AF5">
        <w:rPr>
          <w:rFonts w:ascii="Garamond" w:hAnsi="Garamond"/>
          <w:sz w:val="24"/>
          <w:szCs w:val="24"/>
          <w:lang w:val="en-US"/>
        </w:rPr>
        <w:t>Thus</w:t>
      </w:r>
      <w:r w:rsidR="002C0774">
        <w:rPr>
          <w:rFonts w:ascii="Garamond" w:hAnsi="Garamond"/>
          <w:sz w:val="24"/>
          <w:szCs w:val="24"/>
          <w:lang w:val="en-US"/>
        </w:rPr>
        <w:t>,</w:t>
      </w:r>
      <w:r w:rsidR="00DC6A6F" w:rsidRPr="00D56AF5">
        <w:rPr>
          <w:rFonts w:ascii="Garamond" w:hAnsi="Garamond"/>
          <w:sz w:val="24"/>
          <w:szCs w:val="24"/>
          <w:lang w:val="en-US"/>
        </w:rPr>
        <w:t xml:space="preserve"> Raz is essentially arguing that the NJT is met if the </w:t>
      </w:r>
      <w:r w:rsidR="004A12B2" w:rsidRPr="00D56AF5">
        <w:rPr>
          <w:rFonts w:ascii="Garamond" w:hAnsi="Garamond"/>
          <w:sz w:val="24"/>
          <w:szCs w:val="24"/>
          <w:lang w:val="en-US"/>
        </w:rPr>
        <w:t xml:space="preserve">directive improves </w:t>
      </w:r>
      <w:r w:rsidR="00DC6A6F" w:rsidRPr="00D56AF5">
        <w:rPr>
          <w:rFonts w:ascii="Garamond" w:hAnsi="Garamond"/>
          <w:sz w:val="24"/>
          <w:szCs w:val="24"/>
          <w:lang w:val="en-US"/>
        </w:rPr>
        <w:t>conformity to reasons</w:t>
      </w:r>
      <w:r w:rsidR="00B93A5C" w:rsidRPr="00D56AF5">
        <w:rPr>
          <w:rFonts w:ascii="Garamond" w:hAnsi="Garamond"/>
          <w:sz w:val="24"/>
          <w:szCs w:val="24"/>
          <w:lang w:val="en-US"/>
        </w:rPr>
        <w:t xml:space="preserve"> </w:t>
      </w:r>
      <w:r w:rsidR="00DC6A6F" w:rsidRPr="00D56AF5">
        <w:rPr>
          <w:rFonts w:ascii="Garamond" w:hAnsi="Garamond"/>
          <w:sz w:val="24"/>
          <w:szCs w:val="24"/>
          <w:lang w:val="en-US"/>
        </w:rPr>
        <w:t>which bear on the circumstances covered by its directive</w:t>
      </w:r>
      <w:r w:rsidR="00B93A5C" w:rsidRPr="00D56AF5">
        <w:rPr>
          <w:rFonts w:ascii="Garamond" w:hAnsi="Garamond"/>
          <w:sz w:val="24"/>
          <w:szCs w:val="24"/>
          <w:lang w:val="en-US"/>
        </w:rPr>
        <w:t>s</w:t>
      </w:r>
      <w:r w:rsidR="00DC6A6F" w:rsidRPr="00D56AF5">
        <w:rPr>
          <w:rFonts w:ascii="Garamond" w:hAnsi="Garamond"/>
          <w:sz w:val="24"/>
          <w:szCs w:val="24"/>
          <w:lang w:val="en-US"/>
        </w:rPr>
        <w:t>.</w:t>
      </w:r>
      <w:r w:rsidR="00DC6A6F" w:rsidRPr="00D56AF5">
        <w:rPr>
          <w:rStyle w:val="FootnoteReference"/>
          <w:rFonts w:ascii="Garamond" w:hAnsi="Garamond"/>
          <w:sz w:val="24"/>
          <w:szCs w:val="24"/>
          <w:lang w:val="en-US"/>
        </w:rPr>
        <w:footnoteReference w:id="115"/>
      </w:r>
      <w:r w:rsidR="00DC6A6F" w:rsidRPr="00D56AF5">
        <w:rPr>
          <w:rFonts w:ascii="Garamond" w:hAnsi="Garamond"/>
          <w:sz w:val="24"/>
          <w:szCs w:val="24"/>
          <w:lang w:val="en-US"/>
        </w:rPr>
        <w:t xml:space="preserve"> This helps him </w:t>
      </w:r>
      <w:r w:rsidR="00D31CE7" w:rsidRPr="00D56AF5">
        <w:rPr>
          <w:rFonts w:ascii="Garamond" w:hAnsi="Garamond"/>
          <w:sz w:val="24"/>
          <w:szCs w:val="24"/>
          <w:lang w:val="en-US"/>
        </w:rPr>
        <w:t>account for how</w:t>
      </w:r>
      <w:r w:rsidR="001330FF" w:rsidRPr="00D56AF5">
        <w:rPr>
          <w:rFonts w:ascii="Garamond" w:hAnsi="Garamond"/>
          <w:sz w:val="24"/>
          <w:szCs w:val="24"/>
          <w:lang w:val="en-US"/>
        </w:rPr>
        <w:t xml:space="preserve"> political authorities might claim legitimacy on the basis of </w:t>
      </w:r>
      <w:r w:rsidR="003F2149" w:rsidRPr="00D56AF5">
        <w:rPr>
          <w:rFonts w:ascii="Garamond" w:hAnsi="Garamond"/>
          <w:sz w:val="24"/>
          <w:szCs w:val="24"/>
          <w:lang w:val="en-US"/>
        </w:rPr>
        <w:t xml:space="preserve">the value of their </w:t>
      </w:r>
      <w:r w:rsidR="001330FF" w:rsidRPr="00D56AF5">
        <w:rPr>
          <w:rFonts w:ascii="Garamond" w:hAnsi="Garamond"/>
          <w:sz w:val="24"/>
          <w:szCs w:val="24"/>
          <w:lang w:val="en-US"/>
        </w:rPr>
        <w:t xml:space="preserve">procedures </w:t>
      </w:r>
      <w:r w:rsidR="00271D34" w:rsidRPr="00D56AF5">
        <w:rPr>
          <w:rFonts w:ascii="Garamond" w:hAnsi="Garamond"/>
          <w:sz w:val="24"/>
          <w:szCs w:val="24"/>
          <w:lang w:val="en-US"/>
        </w:rPr>
        <w:t>and processes of decision-making as opposed to the content of the ultimate decisions themselves.</w:t>
      </w:r>
      <w:r w:rsidR="00271D34" w:rsidRPr="00D56AF5">
        <w:rPr>
          <w:rStyle w:val="FootnoteReference"/>
          <w:rFonts w:ascii="Garamond" w:hAnsi="Garamond"/>
          <w:sz w:val="24"/>
          <w:szCs w:val="24"/>
          <w:lang w:val="en-US"/>
        </w:rPr>
        <w:footnoteReference w:id="116"/>
      </w:r>
      <w:r w:rsidR="003F2149" w:rsidRPr="00D56AF5">
        <w:rPr>
          <w:rFonts w:ascii="Garamond" w:hAnsi="Garamond"/>
          <w:sz w:val="24"/>
          <w:szCs w:val="24"/>
          <w:lang w:val="en-US"/>
        </w:rPr>
        <w:t xml:space="preserve"> </w:t>
      </w:r>
      <w:r w:rsidR="00184D35" w:rsidRPr="00D56AF5">
        <w:rPr>
          <w:rFonts w:ascii="Garamond" w:hAnsi="Garamond"/>
          <w:sz w:val="24"/>
          <w:szCs w:val="24"/>
          <w:lang w:val="en-US"/>
        </w:rPr>
        <w:t xml:space="preserve">This could explain why decisions of the UNSC bind states or why </w:t>
      </w:r>
      <w:r w:rsidR="009E62CC" w:rsidRPr="00D56AF5">
        <w:rPr>
          <w:rFonts w:ascii="Garamond" w:hAnsi="Garamond"/>
          <w:sz w:val="24"/>
          <w:szCs w:val="24"/>
          <w:lang w:val="en-US"/>
        </w:rPr>
        <w:t xml:space="preserve">additional </w:t>
      </w:r>
      <w:r w:rsidR="00184D35" w:rsidRPr="00D56AF5">
        <w:rPr>
          <w:rFonts w:ascii="Garamond" w:hAnsi="Garamond"/>
          <w:sz w:val="24"/>
          <w:szCs w:val="24"/>
          <w:lang w:val="en-US"/>
        </w:rPr>
        <w:t xml:space="preserve">weight is given to the </w:t>
      </w:r>
      <w:r w:rsidR="009E62CC" w:rsidRPr="00D56AF5">
        <w:rPr>
          <w:rFonts w:ascii="Garamond" w:hAnsi="Garamond"/>
          <w:sz w:val="24"/>
          <w:szCs w:val="24"/>
          <w:lang w:val="en-US"/>
        </w:rPr>
        <w:t xml:space="preserve">practices of ‘specially affected states’ in the creation of customary international law. </w:t>
      </w:r>
    </w:p>
    <w:p w14:paraId="2E8311DD" w14:textId="43ED433D" w:rsidR="002B73B4" w:rsidRDefault="00F658D4"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There are, of course, </w:t>
      </w:r>
      <w:r w:rsidR="00CE7865" w:rsidRPr="00D56AF5">
        <w:rPr>
          <w:rFonts w:ascii="Garamond" w:hAnsi="Garamond"/>
          <w:sz w:val="24"/>
          <w:szCs w:val="24"/>
          <w:lang w:val="en-US"/>
        </w:rPr>
        <w:t xml:space="preserve">other </w:t>
      </w:r>
      <w:r w:rsidRPr="00D56AF5">
        <w:rPr>
          <w:rFonts w:ascii="Garamond" w:hAnsi="Garamond"/>
          <w:sz w:val="24"/>
          <w:szCs w:val="24"/>
          <w:lang w:val="en-US"/>
        </w:rPr>
        <w:t>objections to the adequacy of the service conception as an explanation for authority.</w:t>
      </w:r>
      <w:r w:rsidR="004732F9" w:rsidRPr="00D56AF5">
        <w:rPr>
          <w:rStyle w:val="FootnoteReference"/>
          <w:rFonts w:ascii="Garamond" w:hAnsi="Garamond"/>
          <w:sz w:val="24"/>
          <w:szCs w:val="24"/>
          <w:lang w:val="en-US"/>
        </w:rPr>
        <w:footnoteReference w:id="117"/>
      </w:r>
      <w:r w:rsidRPr="00D56AF5">
        <w:rPr>
          <w:rFonts w:ascii="Garamond" w:hAnsi="Garamond"/>
          <w:sz w:val="24"/>
          <w:szCs w:val="24"/>
          <w:lang w:val="en-US"/>
        </w:rPr>
        <w:t xml:space="preserve"> </w:t>
      </w:r>
      <w:r w:rsidR="00925452" w:rsidRPr="00D56AF5">
        <w:rPr>
          <w:rFonts w:ascii="Garamond" w:hAnsi="Garamond"/>
          <w:sz w:val="24"/>
          <w:szCs w:val="24"/>
          <w:lang w:val="en-US"/>
        </w:rPr>
        <w:t xml:space="preserve">It is beyond the scope of this paper to mount a defense against all of them. </w:t>
      </w:r>
      <w:r w:rsidR="0002435D" w:rsidRPr="00D56AF5">
        <w:rPr>
          <w:rFonts w:ascii="Garamond" w:hAnsi="Garamond"/>
          <w:sz w:val="24"/>
          <w:szCs w:val="24"/>
          <w:lang w:val="en-US"/>
        </w:rPr>
        <w:t>My quest for an explanation of international law’s authority was limited to</w:t>
      </w:r>
      <w:r w:rsidR="00063257" w:rsidRPr="00D56AF5">
        <w:rPr>
          <w:rFonts w:ascii="Garamond" w:hAnsi="Garamond"/>
          <w:sz w:val="24"/>
          <w:szCs w:val="24"/>
          <w:lang w:val="en-US"/>
        </w:rPr>
        <w:t xml:space="preserve"> </w:t>
      </w:r>
      <w:r w:rsidR="006271CA" w:rsidRPr="00D56AF5">
        <w:rPr>
          <w:rFonts w:ascii="Garamond" w:hAnsi="Garamond"/>
          <w:sz w:val="24"/>
          <w:szCs w:val="24"/>
          <w:lang w:val="en-US"/>
        </w:rPr>
        <w:t>trying</w:t>
      </w:r>
      <w:r w:rsidR="008174B8" w:rsidRPr="00D56AF5">
        <w:rPr>
          <w:rFonts w:ascii="Garamond" w:hAnsi="Garamond"/>
          <w:sz w:val="24"/>
          <w:szCs w:val="24"/>
          <w:lang w:val="en-US"/>
        </w:rPr>
        <w:t xml:space="preserve"> to understand when international law could retain authority over a state without eroding its sovereignty</w:t>
      </w:r>
      <w:r w:rsidR="00D0361C" w:rsidRPr="00D56AF5">
        <w:rPr>
          <w:rFonts w:ascii="Garamond" w:hAnsi="Garamond"/>
          <w:sz w:val="24"/>
          <w:szCs w:val="24"/>
          <w:lang w:val="en-US"/>
        </w:rPr>
        <w:t xml:space="preserve">. </w:t>
      </w:r>
      <w:r w:rsidR="00E95716" w:rsidRPr="00D56AF5">
        <w:rPr>
          <w:rFonts w:ascii="Garamond" w:hAnsi="Garamond"/>
          <w:sz w:val="24"/>
          <w:szCs w:val="24"/>
          <w:lang w:val="en-US"/>
        </w:rPr>
        <w:t xml:space="preserve">Therefore, I will end my discussion on the service conception here, by noting that </w:t>
      </w:r>
      <w:r w:rsidR="00C47F9A" w:rsidRPr="00D56AF5">
        <w:rPr>
          <w:rFonts w:ascii="Garamond" w:hAnsi="Garamond"/>
          <w:sz w:val="24"/>
          <w:szCs w:val="24"/>
          <w:lang w:val="en-US"/>
        </w:rPr>
        <w:t xml:space="preserve">it offers a theoretical </w:t>
      </w:r>
      <w:r w:rsidR="007C4440">
        <w:rPr>
          <w:rFonts w:ascii="Garamond" w:hAnsi="Garamond"/>
          <w:sz w:val="24"/>
          <w:szCs w:val="24"/>
          <w:lang w:val="en-US"/>
        </w:rPr>
        <w:t xml:space="preserve">basis </w:t>
      </w:r>
      <w:r w:rsidR="00C47F9A" w:rsidRPr="00D56AF5">
        <w:rPr>
          <w:rFonts w:ascii="Garamond" w:hAnsi="Garamond"/>
          <w:sz w:val="24"/>
          <w:szCs w:val="24"/>
          <w:lang w:val="en-US"/>
        </w:rPr>
        <w:t>to proceed</w:t>
      </w:r>
      <w:r w:rsidR="00655C25" w:rsidRPr="00D56AF5">
        <w:rPr>
          <w:rFonts w:ascii="Garamond" w:hAnsi="Garamond"/>
          <w:sz w:val="24"/>
          <w:szCs w:val="24"/>
          <w:lang w:val="en-US"/>
        </w:rPr>
        <w:t>:</w:t>
      </w:r>
      <w:r w:rsidR="00C47F9A" w:rsidRPr="00D56AF5">
        <w:rPr>
          <w:rFonts w:ascii="Garamond" w:hAnsi="Garamond"/>
          <w:sz w:val="24"/>
          <w:szCs w:val="24"/>
          <w:lang w:val="en-US"/>
        </w:rPr>
        <w:t xml:space="preserve"> </w:t>
      </w:r>
      <w:r w:rsidR="00F135D3" w:rsidRPr="00D56AF5">
        <w:rPr>
          <w:rFonts w:ascii="Garamond" w:hAnsi="Garamond"/>
          <w:sz w:val="24"/>
          <w:szCs w:val="24"/>
          <w:lang w:val="en-US"/>
        </w:rPr>
        <w:t xml:space="preserve">to identify </w:t>
      </w:r>
      <w:r w:rsidR="00655C25" w:rsidRPr="00D56AF5">
        <w:rPr>
          <w:rFonts w:ascii="Garamond" w:hAnsi="Garamond"/>
          <w:sz w:val="24"/>
          <w:szCs w:val="24"/>
          <w:lang w:val="en-US"/>
        </w:rPr>
        <w:t xml:space="preserve">which of the two - </w:t>
      </w:r>
      <w:r w:rsidR="00F135D3" w:rsidRPr="00D56AF5">
        <w:rPr>
          <w:rFonts w:ascii="Garamond" w:hAnsi="Garamond"/>
          <w:sz w:val="24"/>
          <w:szCs w:val="24"/>
          <w:lang w:val="en-US"/>
        </w:rPr>
        <w:t xml:space="preserve">the Prior Consent Route or the </w:t>
      </w:r>
      <w:r w:rsidR="00655C25" w:rsidRPr="00D56AF5">
        <w:rPr>
          <w:rFonts w:ascii="Garamond" w:hAnsi="Garamond"/>
          <w:sz w:val="24"/>
          <w:szCs w:val="24"/>
          <w:lang w:val="en-US"/>
        </w:rPr>
        <w:t xml:space="preserve">Ad Hoc Authorization Route </w:t>
      </w:r>
      <w:r w:rsidR="003B062F" w:rsidRPr="00D56AF5">
        <w:rPr>
          <w:rFonts w:ascii="Garamond" w:hAnsi="Garamond"/>
          <w:sz w:val="24"/>
          <w:szCs w:val="24"/>
          <w:lang w:val="en-US"/>
        </w:rPr>
        <w:t xml:space="preserve">– is more desirable, </w:t>
      </w:r>
      <w:r w:rsidR="00250366" w:rsidRPr="00D56AF5">
        <w:rPr>
          <w:rFonts w:ascii="Garamond" w:hAnsi="Garamond"/>
          <w:sz w:val="24"/>
          <w:szCs w:val="24"/>
          <w:lang w:val="en-US"/>
        </w:rPr>
        <w:t xml:space="preserve">we </w:t>
      </w:r>
      <w:r w:rsidR="00ED2F7E" w:rsidRPr="00D56AF5">
        <w:rPr>
          <w:rFonts w:ascii="Garamond" w:hAnsi="Garamond"/>
          <w:sz w:val="24"/>
          <w:szCs w:val="24"/>
          <w:lang w:val="en-US"/>
        </w:rPr>
        <w:t xml:space="preserve">must see </w:t>
      </w:r>
      <w:r w:rsidR="00250366" w:rsidRPr="00D56AF5">
        <w:rPr>
          <w:rFonts w:ascii="Garamond" w:hAnsi="Garamond"/>
          <w:sz w:val="24"/>
          <w:szCs w:val="24"/>
          <w:lang w:val="en-US"/>
        </w:rPr>
        <w:t xml:space="preserve">which of these </w:t>
      </w:r>
      <w:r w:rsidR="004D65E6" w:rsidRPr="00D56AF5">
        <w:rPr>
          <w:rFonts w:ascii="Garamond" w:hAnsi="Garamond"/>
          <w:sz w:val="24"/>
          <w:szCs w:val="24"/>
          <w:lang w:val="en-US"/>
        </w:rPr>
        <w:t xml:space="preserve">routes </w:t>
      </w:r>
      <w:r w:rsidR="005E7EF9" w:rsidRPr="00D56AF5">
        <w:rPr>
          <w:rFonts w:ascii="Garamond" w:hAnsi="Garamond"/>
          <w:sz w:val="24"/>
          <w:szCs w:val="24"/>
          <w:lang w:val="en-US"/>
        </w:rPr>
        <w:t xml:space="preserve">better </w:t>
      </w:r>
      <w:r w:rsidR="00AF04A9" w:rsidRPr="00D56AF5">
        <w:rPr>
          <w:rFonts w:ascii="Garamond" w:hAnsi="Garamond"/>
          <w:sz w:val="24"/>
          <w:szCs w:val="24"/>
          <w:lang w:val="en-US"/>
        </w:rPr>
        <w:t>cohere</w:t>
      </w:r>
      <w:r w:rsidR="005E7EF9" w:rsidRPr="00D56AF5">
        <w:rPr>
          <w:rFonts w:ascii="Garamond" w:hAnsi="Garamond"/>
          <w:sz w:val="24"/>
          <w:szCs w:val="24"/>
          <w:lang w:val="en-US"/>
        </w:rPr>
        <w:t xml:space="preserve"> </w:t>
      </w:r>
      <w:r w:rsidR="003E0152" w:rsidRPr="00D56AF5">
        <w:rPr>
          <w:rFonts w:ascii="Garamond" w:hAnsi="Garamond"/>
          <w:sz w:val="24"/>
          <w:szCs w:val="24"/>
          <w:lang w:val="en-US"/>
        </w:rPr>
        <w:t xml:space="preserve">with </w:t>
      </w:r>
      <w:r w:rsidR="009C2356" w:rsidRPr="00D56AF5">
        <w:rPr>
          <w:rFonts w:ascii="Garamond" w:hAnsi="Garamond"/>
          <w:sz w:val="24"/>
          <w:szCs w:val="24"/>
          <w:lang w:val="en-US"/>
        </w:rPr>
        <w:t xml:space="preserve">the universe of institutional values and norms </w:t>
      </w:r>
      <w:r w:rsidR="00E83D0F" w:rsidRPr="00D56AF5">
        <w:rPr>
          <w:rFonts w:ascii="Garamond" w:hAnsi="Garamond"/>
          <w:sz w:val="24"/>
          <w:szCs w:val="24"/>
          <w:lang w:val="en-US"/>
        </w:rPr>
        <w:t>that</w:t>
      </w:r>
      <w:r w:rsidR="00143A69" w:rsidRPr="00D56AF5">
        <w:rPr>
          <w:rFonts w:ascii="Garamond" w:hAnsi="Garamond"/>
          <w:sz w:val="24"/>
          <w:szCs w:val="24"/>
          <w:lang w:val="en-US"/>
        </w:rPr>
        <w:t xml:space="preserve"> bind</w:t>
      </w:r>
      <w:r w:rsidR="009C2356" w:rsidRPr="00D56AF5">
        <w:rPr>
          <w:rFonts w:ascii="Garamond" w:hAnsi="Garamond"/>
          <w:sz w:val="24"/>
          <w:szCs w:val="24"/>
          <w:lang w:val="en-US"/>
        </w:rPr>
        <w:t xml:space="preserve"> sovereign states. </w:t>
      </w:r>
      <w:r w:rsidR="00085D52" w:rsidRPr="00D56AF5">
        <w:rPr>
          <w:rFonts w:ascii="Garamond" w:hAnsi="Garamond"/>
          <w:sz w:val="24"/>
          <w:szCs w:val="24"/>
          <w:lang w:val="en-US"/>
        </w:rPr>
        <w:t xml:space="preserve"> </w:t>
      </w:r>
    </w:p>
    <w:p w14:paraId="41B73476" w14:textId="77777777" w:rsidR="006528C1" w:rsidRPr="00D56AF5" w:rsidRDefault="006528C1" w:rsidP="001340AF">
      <w:pPr>
        <w:spacing w:after="120" w:line="480" w:lineRule="auto"/>
        <w:jc w:val="both"/>
        <w:rPr>
          <w:rFonts w:ascii="Garamond" w:hAnsi="Garamond"/>
          <w:sz w:val="24"/>
          <w:szCs w:val="24"/>
          <w:lang w:val="en-US"/>
        </w:rPr>
      </w:pPr>
    </w:p>
    <w:p w14:paraId="06262666" w14:textId="50BC971F" w:rsidR="00347887" w:rsidRPr="00F835DF" w:rsidRDefault="00456B5C" w:rsidP="001340AF">
      <w:pPr>
        <w:pStyle w:val="Heading1"/>
        <w:numPr>
          <w:ilvl w:val="0"/>
          <w:numId w:val="35"/>
        </w:numPr>
        <w:spacing w:line="480" w:lineRule="auto"/>
        <w:rPr>
          <w:szCs w:val="24"/>
          <w:lang w:val="en-US"/>
        </w:rPr>
      </w:pPr>
      <w:bookmarkStart w:id="15" w:name="_Toc169217166"/>
      <w:bookmarkStart w:id="16" w:name="_Toc191740730"/>
      <w:r w:rsidRPr="00D56AF5">
        <w:rPr>
          <w:szCs w:val="24"/>
          <w:lang w:val="en-US"/>
        </w:rPr>
        <w:t xml:space="preserve">Standing Authorizations </w:t>
      </w:r>
      <w:r w:rsidR="006C3170" w:rsidRPr="00D56AF5">
        <w:rPr>
          <w:szCs w:val="24"/>
          <w:lang w:val="en-US"/>
        </w:rPr>
        <w:t xml:space="preserve">and the Paradox of </w:t>
      </w:r>
      <w:r w:rsidR="00BC57D1" w:rsidRPr="00D56AF5">
        <w:rPr>
          <w:szCs w:val="24"/>
          <w:lang w:val="en-US"/>
        </w:rPr>
        <w:t>Sovereignty</w:t>
      </w:r>
      <w:bookmarkEnd w:id="15"/>
      <w:bookmarkEnd w:id="16"/>
      <w:r w:rsidR="00BC57D1" w:rsidRPr="00D56AF5">
        <w:rPr>
          <w:szCs w:val="24"/>
          <w:lang w:val="en-US"/>
        </w:rPr>
        <w:t xml:space="preserve"> </w:t>
      </w:r>
    </w:p>
    <w:p w14:paraId="0E9D7F2F" w14:textId="26431ABB" w:rsidR="00CE197F" w:rsidRDefault="00CE197F" w:rsidP="001340AF">
      <w:pPr>
        <w:spacing w:after="120" w:line="480" w:lineRule="auto"/>
        <w:jc w:val="both"/>
        <w:rPr>
          <w:rFonts w:ascii="Garamond" w:hAnsi="Garamond"/>
          <w:sz w:val="24"/>
          <w:szCs w:val="24"/>
          <w:lang w:val="en-US"/>
        </w:rPr>
      </w:pPr>
      <w:r>
        <w:rPr>
          <w:rFonts w:ascii="Garamond" w:hAnsi="Garamond"/>
          <w:sz w:val="24"/>
          <w:szCs w:val="24"/>
          <w:lang w:val="en-US"/>
        </w:rPr>
        <w:t xml:space="preserve">Our objective is to determine whether a rule of international law recognizing the sufficiency of standing authorizations </w:t>
      </w:r>
      <w:r w:rsidR="00A262A5" w:rsidRPr="00D56AF5">
        <w:rPr>
          <w:rFonts w:ascii="Garamond" w:hAnsi="Garamond"/>
          <w:sz w:val="24"/>
          <w:szCs w:val="24"/>
          <w:lang w:val="en-US"/>
        </w:rPr>
        <w:t>for pro-democratic interventions</w:t>
      </w:r>
      <w:r w:rsidR="00183578">
        <w:rPr>
          <w:rFonts w:ascii="Garamond" w:hAnsi="Garamond"/>
          <w:sz w:val="24"/>
          <w:szCs w:val="24"/>
          <w:lang w:val="en-US"/>
        </w:rPr>
        <w:t>,</w:t>
      </w:r>
      <w:r w:rsidR="00A262A5" w:rsidRPr="00D56AF5">
        <w:rPr>
          <w:rFonts w:ascii="Garamond" w:hAnsi="Garamond"/>
          <w:sz w:val="24"/>
          <w:szCs w:val="24"/>
          <w:lang w:val="en-US"/>
        </w:rPr>
        <w:t xml:space="preserve"> </w:t>
      </w:r>
      <w:r>
        <w:rPr>
          <w:rFonts w:ascii="Garamond" w:hAnsi="Garamond"/>
          <w:sz w:val="24"/>
          <w:szCs w:val="24"/>
          <w:lang w:val="en-US"/>
        </w:rPr>
        <w:t xml:space="preserve">is morally and prudentially desirable. We can do this by adopting Buchanan’s method of </w:t>
      </w:r>
      <w:r w:rsidRPr="00D56AF5">
        <w:rPr>
          <w:rFonts w:ascii="Garamond" w:hAnsi="Garamond"/>
          <w:sz w:val="24"/>
          <w:szCs w:val="24"/>
          <w:lang w:val="en-US"/>
        </w:rPr>
        <w:t>institutional moral reasoning</w:t>
      </w:r>
      <w:r>
        <w:rPr>
          <w:rFonts w:ascii="Garamond" w:hAnsi="Garamond"/>
          <w:sz w:val="24"/>
          <w:szCs w:val="24"/>
          <w:lang w:val="en-US"/>
        </w:rPr>
        <w:t>.</w:t>
      </w:r>
      <w:r w:rsidRPr="00A35F5A">
        <w:rPr>
          <w:rStyle w:val="FootnoteReference"/>
          <w:rFonts w:ascii="Garamond" w:hAnsi="Garamond"/>
          <w:sz w:val="24"/>
          <w:szCs w:val="24"/>
          <w:lang w:val="en-US"/>
        </w:rPr>
        <w:t xml:space="preserve"> </w:t>
      </w:r>
      <w:r w:rsidRPr="00D56AF5">
        <w:rPr>
          <w:rStyle w:val="FootnoteReference"/>
          <w:rFonts w:ascii="Garamond" w:hAnsi="Garamond"/>
          <w:sz w:val="24"/>
          <w:szCs w:val="24"/>
          <w:lang w:val="en-US"/>
        </w:rPr>
        <w:footnoteReference w:id="118"/>
      </w:r>
      <w:r>
        <w:rPr>
          <w:rFonts w:ascii="Garamond" w:hAnsi="Garamond"/>
          <w:sz w:val="24"/>
          <w:szCs w:val="24"/>
          <w:lang w:val="en-US"/>
        </w:rPr>
        <w:t xml:space="preserve"> Essentially, this involves identifying the </w:t>
      </w:r>
      <w:r w:rsidR="0071778A">
        <w:rPr>
          <w:rFonts w:ascii="Garamond" w:hAnsi="Garamond"/>
          <w:sz w:val="24"/>
          <w:szCs w:val="24"/>
          <w:lang w:val="en-US"/>
        </w:rPr>
        <w:t xml:space="preserve">effects that a proposed new rule of international law would have on </w:t>
      </w:r>
      <w:r w:rsidRPr="00D56AF5">
        <w:rPr>
          <w:rFonts w:ascii="Garamond" w:hAnsi="Garamond"/>
          <w:sz w:val="24"/>
          <w:szCs w:val="24"/>
          <w:lang w:val="en-US"/>
        </w:rPr>
        <w:t xml:space="preserve">morally defensible principles and values of existing institutions </w:t>
      </w:r>
      <w:r w:rsidR="0071778A">
        <w:rPr>
          <w:rFonts w:ascii="Garamond" w:hAnsi="Garamond"/>
          <w:sz w:val="24"/>
          <w:szCs w:val="24"/>
          <w:lang w:val="en-US"/>
        </w:rPr>
        <w:t>of</w:t>
      </w:r>
      <w:r>
        <w:rPr>
          <w:rFonts w:ascii="Garamond" w:hAnsi="Garamond"/>
          <w:sz w:val="24"/>
          <w:szCs w:val="24"/>
          <w:lang w:val="en-US"/>
        </w:rPr>
        <w:t xml:space="preserve"> international law</w:t>
      </w:r>
      <w:r w:rsidR="008F554A">
        <w:rPr>
          <w:rFonts w:ascii="Garamond" w:hAnsi="Garamond"/>
          <w:sz w:val="24"/>
          <w:szCs w:val="24"/>
          <w:lang w:val="en-US"/>
        </w:rPr>
        <w:t>,</w:t>
      </w:r>
      <w:r w:rsidR="0071778A">
        <w:rPr>
          <w:rFonts w:ascii="Garamond" w:hAnsi="Garamond"/>
          <w:sz w:val="24"/>
          <w:szCs w:val="24"/>
          <w:lang w:val="en-US"/>
        </w:rPr>
        <w:t xml:space="preserve"> </w:t>
      </w:r>
      <w:r w:rsidR="008F554A">
        <w:rPr>
          <w:rFonts w:ascii="Garamond" w:hAnsi="Garamond"/>
          <w:sz w:val="24"/>
          <w:szCs w:val="24"/>
          <w:lang w:val="en-US"/>
        </w:rPr>
        <w:t xml:space="preserve">to </w:t>
      </w:r>
      <w:r w:rsidR="006A3353">
        <w:rPr>
          <w:rFonts w:ascii="Garamond" w:hAnsi="Garamond"/>
          <w:sz w:val="24"/>
          <w:szCs w:val="24"/>
          <w:lang w:val="en-US"/>
        </w:rPr>
        <w:t>assess whether there are good reasons to introduce the new rule.</w:t>
      </w:r>
      <w:r w:rsidR="008F554A">
        <w:rPr>
          <w:rStyle w:val="FootnoteReference"/>
          <w:rFonts w:ascii="Garamond" w:hAnsi="Garamond"/>
          <w:sz w:val="24"/>
          <w:szCs w:val="24"/>
          <w:lang w:val="en-US"/>
        </w:rPr>
        <w:footnoteReference w:id="119"/>
      </w:r>
    </w:p>
    <w:p w14:paraId="27ECD6BF" w14:textId="3EC720EA" w:rsidR="00CE197F" w:rsidRPr="008F554A" w:rsidRDefault="008C7799" w:rsidP="001340AF">
      <w:pPr>
        <w:spacing w:after="120" w:line="480" w:lineRule="auto"/>
        <w:jc w:val="both"/>
        <w:rPr>
          <w:rFonts w:ascii="Garamond" w:hAnsi="Garamond"/>
          <w:sz w:val="24"/>
          <w:szCs w:val="24"/>
          <w:lang w:val="en-US"/>
        </w:rPr>
      </w:pPr>
      <w:r>
        <w:rPr>
          <w:rFonts w:ascii="Garamond" w:hAnsi="Garamond"/>
          <w:sz w:val="24"/>
          <w:szCs w:val="24"/>
          <w:lang w:val="en-US"/>
        </w:rPr>
        <w:t>My argument is</w:t>
      </w:r>
      <w:r w:rsidR="00CE197F">
        <w:rPr>
          <w:rFonts w:ascii="Garamond" w:hAnsi="Garamond"/>
          <w:sz w:val="24"/>
          <w:szCs w:val="24"/>
          <w:lang w:val="en-US"/>
        </w:rPr>
        <w:t xml:space="preserve"> that if </w:t>
      </w:r>
      <w:r w:rsidR="0071778A">
        <w:rPr>
          <w:rFonts w:ascii="Garamond" w:hAnsi="Garamond"/>
          <w:sz w:val="24"/>
          <w:szCs w:val="24"/>
          <w:lang w:val="en-US"/>
        </w:rPr>
        <w:t xml:space="preserve">we adopt the Prior Consent Route to </w:t>
      </w:r>
      <w:r w:rsidR="00CE197F">
        <w:rPr>
          <w:rFonts w:ascii="Garamond" w:hAnsi="Garamond"/>
          <w:sz w:val="24"/>
          <w:szCs w:val="24"/>
          <w:lang w:val="en-US"/>
        </w:rPr>
        <w:t>treaty-based standing authorizations</w:t>
      </w:r>
      <w:r>
        <w:rPr>
          <w:rFonts w:ascii="Garamond" w:hAnsi="Garamond"/>
          <w:sz w:val="24"/>
          <w:szCs w:val="24"/>
          <w:lang w:val="en-US"/>
        </w:rPr>
        <w:t xml:space="preserve"> in </w:t>
      </w:r>
      <w:r w:rsidR="006A3353" w:rsidRPr="006A3353">
        <w:rPr>
          <w:rFonts w:ascii="Garamond" w:hAnsi="Garamond"/>
          <w:sz w:val="24"/>
          <w:szCs w:val="24"/>
          <w:lang w:val="en-US"/>
        </w:rPr>
        <w:t>their</w:t>
      </w:r>
      <w:r w:rsidRPr="008C7799">
        <w:rPr>
          <w:rFonts w:ascii="Garamond" w:hAnsi="Garamond"/>
          <w:i/>
          <w:iCs/>
          <w:sz w:val="24"/>
          <w:szCs w:val="24"/>
          <w:lang w:val="en-US"/>
        </w:rPr>
        <w:t xml:space="preserve"> current </w:t>
      </w:r>
      <w:r w:rsidRPr="008F554A">
        <w:rPr>
          <w:rFonts w:ascii="Garamond" w:hAnsi="Garamond"/>
          <w:i/>
          <w:iCs/>
          <w:sz w:val="24"/>
          <w:szCs w:val="24"/>
          <w:lang w:val="en-US"/>
        </w:rPr>
        <w:t>form</w:t>
      </w:r>
      <w:r w:rsidR="0071778A" w:rsidRPr="008F554A">
        <w:rPr>
          <w:rFonts w:ascii="Garamond" w:hAnsi="Garamond"/>
          <w:sz w:val="24"/>
          <w:szCs w:val="24"/>
          <w:lang w:val="en-US"/>
        </w:rPr>
        <w:t xml:space="preserve">, </w:t>
      </w:r>
      <w:r w:rsidR="007D1DC8" w:rsidRPr="008F554A">
        <w:rPr>
          <w:rFonts w:ascii="Garamond" w:hAnsi="Garamond"/>
          <w:sz w:val="24"/>
          <w:szCs w:val="24"/>
          <w:lang w:val="en-US"/>
        </w:rPr>
        <w:t xml:space="preserve">then </w:t>
      </w:r>
      <w:r w:rsidR="0071778A" w:rsidRPr="008F554A">
        <w:rPr>
          <w:rFonts w:ascii="Garamond" w:hAnsi="Garamond"/>
          <w:sz w:val="24"/>
          <w:szCs w:val="24"/>
          <w:lang w:val="en-US"/>
        </w:rPr>
        <w:t xml:space="preserve">we risk </w:t>
      </w:r>
      <w:r w:rsidR="007D1DC8" w:rsidRPr="008F554A">
        <w:rPr>
          <w:rFonts w:ascii="Garamond" w:hAnsi="Garamond"/>
          <w:sz w:val="24"/>
          <w:szCs w:val="24"/>
          <w:lang w:val="en-US"/>
        </w:rPr>
        <w:t xml:space="preserve">eroding the political-legal concept of external sovereignty. </w:t>
      </w:r>
      <w:r w:rsidR="0071778A" w:rsidRPr="008F554A">
        <w:rPr>
          <w:rFonts w:ascii="Garamond" w:hAnsi="Garamond"/>
          <w:sz w:val="24"/>
          <w:szCs w:val="24"/>
          <w:lang w:val="en-US"/>
        </w:rPr>
        <w:t xml:space="preserve">This is because </w:t>
      </w:r>
      <w:r w:rsidR="007D1DC8" w:rsidRPr="008F554A">
        <w:rPr>
          <w:rFonts w:ascii="Garamond" w:hAnsi="Garamond"/>
          <w:sz w:val="24"/>
          <w:szCs w:val="24"/>
          <w:lang w:val="en-US"/>
        </w:rPr>
        <w:t>the values that such interventions seek to protect, are better protected by the state’s exercise of sovereign</w:t>
      </w:r>
      <w:r w:rsidR="006A3353" w:rsidRPr="008F554A">
        <w:rPr>
          <w:rFonts w:ascii="Garamond" w:hAnsi="Garamond"/>
          <w:sz w:val="24"/>
          <w:szCs w:val="24"/>
          <w:lang w:val="en-US"/>
        </w:rPr>
        <w:t xml:space="preserve"> powers</w:t>
      </w:r>
      <w:r w:rsidR="007D1DC8" w:rsidRPr="008F554A">
        <w:rPr>
          <w:rFonts w:ascii="Garamond" w:hAnsi="Garamond"/>
          <w:sz w:val="24"/>
          <w:szCs w:val="24"/>
          <w:lang w:val="en-US"/>
        </w:rPr>
        <w:t>, but a standing authorization</w:t>
      </w:r>
      <w:r w:rsidR="0071778A" w:rsidRPr="008F554A">
        <w:rPr>
          <w:rFonts w:ascii="Garamond" w:hAnsi="Garamond"/>
          <w:sz w:val="24"/>
          <w:szCs w:val="24"/>
          <w:lang w:val="en-US"/>
        </w:rPr>
        <w:t xml:space="preserve"> under the Prior Consent Route would</w:t>
      </w:r>
      <w:r w:rsidR="007D1DC8" w:rsidRPr="008F554A">
        <w:rPr>
          <w:rFonts w:ascii="Garamond" w:hAnsi="Garamond"/>
          <w:sz w:val="24"/>
          <w:szCs w:val="24"/>
          <w:lang w:val="en-US"/>
        </w:rPr>
        <w:t xml:space="preserve"> </w:t>
      </w:r>
      <w:r w:rsidR="007D1DC8" w:rsidRPr="008F554A">
        <w:rPr>
          <w:rFonts w:ascii="Garamond" w:hAnsi="Garamond"/>
          <w:i/>
          <w:iCs/>
          <w:sz w:val="24"/>
          <w:szCs w:val="24"/>
          <w:lang w:val="en-US"/>
        </w:rPr>
        <w:t xml:space="preserve">legally </w:t>
      </w:r>
      <w:r w:rsidR="007D1DC8" w:rsidRPr="008F554A">
        <w:rPr>
          <w:rFonts w:ascii="Garamond" w:hAnsi="Garamond"/>
          <w:sz w:val="24"/>
          <w:szCs w:val="24"/>
          <w:lang w:val="en-US"/>
        </w:rPr>
        <w:t>deprive</w:t>
      </w:r>
      <w:r w:rsidR="0071778A" w:rsidRPr="008F554A">
        <w:rPr>
          <w:rFonts w:ascii="Garamond" w:hAnsi="Garamond"/>
          <w:sz w:val="24"/>
          <w:szCs w:val="24"/>
          <w:lang w:val="en-US"/>
        </w:rPr>
        <w:t xml:space="preserve"> </w:t>
      </w:r>
      <w:r w:rsidR="007D1DC8" w:rsidRPr="008F554A">
        <w:rPr>
          <w:rFonts w:ascii="Garamond" w:hAnsi="Garamond"/>
          <w:sz w:val="24"/>
          <w:szCs w:val="24"/>
          <w:lang w:val="en-US"/>
        </w:rPr>
        <w:t xml:space="preserve">the state of the rights and powers it needs to protect those values. </w:t>
      </w:r>
    </w:p>
    <w:p w14:paraId="4D0F551F" w14:textId="5605607C" w:rsidR="007D1DC8" w:rsidRDefault="007D1DC8" w:rsidP="001340AF">
      <w:pPr>
        <w:spacing w:after="120" w:line="480" w:lineRule="auto"/>
        <w:jc w:val="both"/>
        <w:rPr>
          <w:rFonts w:ascii="Garamond" w:hAnsi="Garamond"/>
          <w:sz w:val="24"/>
          <w:szCs w:val="24"/>
          <w:lang w:val="en-US"/>
        </w:rPr>
      </w:pPr>
      <w:r w:rsidRPr="008F554A">
        <w:rPr>
          <w:rFonts w:ascii="Garamond" w:hAnsi="Garamond"/>
          <w:sz w:val="24"/>
          <w:szCs w:val="24"/>
          <w:lang w:val="en-US"/>
        </w:rPr>
        <w:t xml:space="preserve">To make </w:t>
      </w:r>
      <w:r w:rsidR="0071778A" w:rsidRPr="008F554A">
        <w:rPr>
          <w:rFonts w:ascii="Garamond" w:hAnsi="Garamond"/>
          <w:sz w:val="24"/>
          <w:szCs w:val="24"/>
          <w:lang w:val="en-US"/>
        </w:rPr>
        <w:t>this argument</w:t>
      </w:r>
      <w:r w:rsidRPr="008F554A">
        <w:rPr>
          <w:rFonts w:ascii="Garamond" w:hAnsi="Garamond"/>
          <w:sz w:val="24"/>
          <w:szCs w:val="24"/>
          <w:lang w:val="en-US"/>
        </w:rPr>
        <w:t xml:space="preserve">, I first identify </w:t>
      </w:r>
      <w:r w:rsidR="00A13376" w:rsidRPr="008F554A">
        <w:rPr>
          <w:rFonts w:ascii="Garamond" w:hAnsi="Garamond"/>
          <w:sz w:val="24"/>
          <w:szCs w:val="24"/>
          <w:lang w:val="en-US"/>
        </w:rPr>
        <w:t xml:space="preserve">and describe </w:t>
      </w:r>
      <w:r w:rsidRPr="008F554A">
        <w:rPr>
          <w:rFonts w:ascii="Garamond" w:hAnsi="Garamond"/>
          <w:sz w:val="24"/>
          <w:szCs w:val="24"/>
          <w:lang w:val="en-US"/>
        </w:rPr>
        <w:t>some core values implicated by standing authorizations for</w:t>
      </w:r>
      <w:r>
        <w:rPr>
          <w:rFonts w:ascii="Garamond" w:hAnsi="Garamond"/>
          <w:sz w:val="24"/>
          <w:szCs w:val="24"/>
          <w:lang w:val="en-US"/>
        </w:rPr>
        <w:t xml:space="preserve"> pro-democratic interventions</w:t>
      </w:r>
      <w:r w:rsidR="00A13376">
        <w:rPr>
          <w:rFonts w:ascii="Garamond" w:hAnsi="Garamond"/>
          <w:sz w:val="24"/>
          <w:szCs w:val="24"/>
          <w:lang w:val="en-US"/>
        </w:rPr>
        <w:t xml:space="preserve"> </w:t>
      </w:r>
      <w:r w:rsidR="00A13376" w:rsidRPr="00A13376">
        <w:rPr>
          <w:rFonts w:ascii="Garamond" w:hAnsi="Garamond"/>
          <w:sz w:val="24"/>
          <w:szCs w:val="24"/>
          <w:lang w:val="en-US"/>
        </w:rPr>
        <w:t>(</w:t>
      </w:r>
      <w:r w:rsidR="00A13376" w:rsidRPr="00A13376">
        <w:rPr>
          <w:rFonts w:ascii="Garamond" w:hAnsi="Garamond"/>
          <w:b/>
          <w:bCs/>
          <w:sz w:val="24"/>
          <w:szCs w:val="24"/>
          <w:lang w:val="en-US"/>
        </w:rPr>
        <w:t>2.1.</w:t>
      </w:r>
      <w:r w:rsidR="00A13376" w:rsidRPr="00A13376">
        <w:rPr>
          <w:rFonts w:ascii="Garamond" w:hAnsi="Garamond"/>
          <w:sz w:val="24"/>
          <w:szCs w:val="24"/>
          <w:lang w:val="en-US"/>
        </w:rPr>
        <w:t>)</w:t>
      </w:r>
      <w:r w:rsidR="00A13376" w:rsidRPr="00A13376">
        <w:rPr>
          <w:rFonts w:ascii="Garamond" w:hAnsi="Garamond"/>
          <w:b/>
          <w:bCs/>
          <w:sz w:val="24"/>
          <w:szCs w:val="24"/>
          <w:lang w:val="en-US"/>
        </w:rPr>
        <w:t>.</w:t>
      </w:r>
      <w:r w:rsidR="00A13376">
        <w:rPr>
          <w:rFonts w:ascii="Garamond" w:hAnsi="Garamond"/>
          <w:sz w:val="24"/>
          <w:szCs w:val="24"/>
          <w:lang w:val="en-US"/>
        </w:rPr>
        <w:t xml:space="preserve"> I then explore </w:t>
      </w:r>
      <w:r>
        <w:rPr>
          <w:rFonts w:ascii="Garamond" w:hAnsi="Garamond"/>
          <w:sz w:val="24"/>
          <w:szCs w:val="24"/>
          <w:lang w:val="en-US"/>
        </w:rPr>
        <w:t>how</w:t>
      </w:r>
      <w:r w:rsidR="00A13376">
        <w:rPr>
          <w:rFonts w:ascii="Garamond" w:hAnsi="Garamond"/>
          <w:sz w:val="24"/>
          <w:szCs w:val="24"/>
          <w:lang w:val="en-US"/>
        </w:rPr>
        <w:t xml:space="preserve"> and why</w:t>
      </w:r>
      <w:r>
        <w:rPr>
          <w:rFonts w:ascii="Garamond" w:hAnsi="Garamond"/>
          <w:sz w:val="24"/>
          <w:szCs w:val="24"/>
          <w:lang w:val="en-US"/>
        </w:rPr>
        <w:t xml:space="preserve"> existing rules of international law protect </w:t>
      </w:r>
      <w:r w:rsidR="00A13376">
        <w:rPr>
          <w:rFonts w:ascii="Garamond" w:hAnsi="Garamond"/>
          <w:sz w:val="24"/>
          <w:szCs w:val="24"/>
          <w:lang w:val="en-US"/>
        </w:rPr>
        <w:t>these values</w:t>
      </w:r>
      <w:r>
        <w:rPr>
          <w:rFonts w:ascii="Garamond" w:hAnsi="Garamond"/>
          <w:sz w:val="24"/>
          <w:szCs w:val="24"/>
          <w:lang w:val="en-US"/>
        </w:rPr>
        <w:t xml:space="preserve"> by deferring to the sovereignty of states (</w:t>
      </w:r>
      <w:r w:rsidRPr="00922CAD">
        <w:rPr>
          <w:rFonts w:ascii="Garamond" w:hAnsi="Garamond"/>
          <w:b/>
          <w:bCs/>
          <w:sz w:val="24"/>
          <w:szCs w:val="24"/>
          <w:lang w:val="en-US"/>
        </w:rPr>
        <w:t>2.</w:t>
      </w:r>
      <w:r w:rsidR="00A13376">
        <w:rPr>
          <w:rFonts w:ascii="Garamond" w:hAnsi="Garamond"/>
          <w:b/>
          <w:bCs/>
          <w:sz w:val="24"/>
          <w:szCs w:val="24"/>
          <w:lang w:val="en-US"/>
        </w:rPr>
        <w:t>2</w:t>
      </w:r>
      <w:r w:rsidRPr="00922CAD">
        <w:rPr>
          <w:rFonts w:ascii="Garamond" w:hAnsi="Garamond"/>
          <w:b/>
          <w:bCs/>
          <w:sz w:val="24"/>
          <w:szCs w:val="24"/>
          <w:lang w:val="en-US"/>
        </w:rPr>
        <w:t>.</w:t>
      </w:r>
      <w:r>
        <w:rPr>
          <w:rFonts w:ascii="Garamond" w:hAnsi="Garamond"/>
          <w:sz w:val="24"/>
          <w:szCs w:val="24"/>
          <w:lang w:val="en-US"/>
        </w:rPr>
        <w:t>)</w:t>
      </w:r>
      <w:r w:rsidR="00922CAD">
        <w:rPr>
          <w:rFonts w:ascii="Garamond" w:hAnsi="Garamond"/>
          <w:sz w:val="24"/>
          <w:szCs w:val="24"/>
          <w:lang w:val="en-US"/>
        </w:rPr>
        <w:t xml:space="preserve">. </w:t>
      </w:r>
      <w:r w:rsidR="00A13376">
        <w:rPr>
          <w:rFonts w:ascii="Garamond" w:hAnsi="Garamond"/>
          <w:sz w:val="24"/>
          <w:szCs w:val="24"/>
          <w:lang w:val="en-US"/>
        </w:rPr>
        <w:t xml:space="preserve">Thereafter, I </w:t>
      </w:r>
      <w:r w:rsidR="00922CAD">
        <w:rPr>
          <w:rFonts w:ascii="Garamond" w:hAnsi="Garamond"/>
          <w:sz w:val="24"/>
          <w:szCs w:val="24"/>
          <w:lang w:val="en-US"/>
        </w:rPr>
        <w:t>turn to</w:t>
      </w:r>
      <w:r w:rsidR="00F24D19">
        <w:rPr>
          <w:rFonts w:ascii="Garamond" w:hAnsi="Garamond"/>
          <w:sz w:val="24"/>
          <w:szCs w:val="24"/>
          <w:lang w:val="en-US"/>
        </w:rPr>
        <w:t xml:space="preserve"> the two routes to </w:t>
      </w:r>
      <w:r w:rsidR="006A3353">
        <w:rPr>
          <w:rFonts w:ascii="Garamond" w:hAnsi="Garamond"/>
          <w:sz w:val="24"/>
          <w:szCs w:val="24"/>
          <w:lang w:val="en-US"/>
        </w:rPr>
        <w:t xml:space="preserve">treating </w:t>
      </w:r>
      <w:r w:rsidR="00922CAD">
        <w:rPr>
          <w:rFonts w:ascii="Garamond" w:hAnsi="Garamond"/>
          <w:sz w:val="24"/>
          <w:szCs w:val="24"/>
          <w:lang w:val="en-US"/>
        </w:rPr>
        <w:t xml:space="preserve">standing authorizations, </w:t>
      </w:r>
      <w:r w:rsidR="00F24D19">
        <w:rPr>
          <w:rFonts w:ascii="Garamond" w:hAnsi="Garamond"/>
          <w:sz w:val="24"/>
          <w:szCs w:val="24"/>
          <w:lang w:val="en-US"/>
        </w:rPr>
        <w:t>and compare their</w:t>
      </w:r>
      <w:r w:rsidR="00922CAD">
        <w:rPr>
          <w:rFonts w:ascii="Garamond" w:hAnsi="Garamond"/>
          <w:sz w:val="24"/>
          <w:szCs w:val="24"/>
          <w:lang w:val="en-US"/>
        </w:rPr>
        <w:t xml:space="preserve"> features against the core values, to determine which route better coheres with </w:t>
      </w:r>
      <w:r w:rsidR="00F24D19">
        <w:rPr>
          <w:rFonts w:ascii="Garamond" w:hAnsi="Garamond"/>
          <w:sz w:val="24"/>
          <w:szCs w:val="24"/>
          <w:lang w:val="en-US"/>
        </w:rPr>
        <w:t xml:space="preserve">the institutional values underwriting </w:t>
      </w:r>
      <w:r w:rsidR="00EA4792">
        <w:rPr>
          <w:rFonts w:ascii="Garamond" w:hAnsi="Garamond"/>
          <w:sz w:val="24"/>
          <w:szCs w:val="24"/>
          <w:lang w:val="en-US"/>
        </w:rPr>
        <w:t>sovereignty</w:t>
      </w:r>
      <w:r w:rsidR="00A13376">
        <w:rPr>
          <w:rFonts w:ascii="Garamond" w:hAnsi="Garamond"/>
          <w:sz w:val="24"/>
          <w:szCs w:val="24"/>
          <w:lang w:val="en-US"/>
        </w:rPr>
        <w:t>.</w:t>
      </w:r>
      <w:r w:rsidR="00F24D19">
        <w:rPr>
          <w:rFonts w:ascii="Garamond" w:hAnsi="Garamond"/>
          <w:sz w:val="24"/>
          <w:szCs w:val="24"/>
          <w:lang w:val="en-US"/>
        </w:rPr>
        <w:t xml:space="preserve"> I conclude </w:t>
      </w:r>
      <w:r w:rsidR="00A13376">
        <w:rPr>
          <w:rFonts w:ascii="Garamond" w:hAnsi="Garamond"/>
          <w:sz w:val="24"/>
          <w:szCs w:val="24"/>
          <w:lang w:val="en-US"/>
        </w:rPr>
        <w:t xml:space="preserve">that the </w:t>
      </w:r>
      <w:r w:rsidR="0071778A">
        <w:rPr>
          <w:rFonts w:ascii="Garamond" w:hAnsi="Garamond"/>
          <w:sz w:val="24"/>
          <w:szCs w:val="24"/>
          <w:lang w:val="en-US"/>
        </w:rPr>
        <w:t xml:space="preserve">Ad hoc Consent Route builds on existing morally defensible values </w:t>
      </w:r>
      <w:r w:rsidR="0071778A">
        <w:rPr>
          <w:rFonts w:ascii="Garamond" w:hAnsi="Garamond"/>
          <w:sz w:val="24"/>
          <w:szCs w:val="24"/>
          <w:lang w:val="en-US"/>
        </w:rPr>
        <w:lastRenderedPageBreak/>
        <w:t xml:space="preserve">better than the Prior Consent </w:t>
      </w:r>
      <w:r w:rsidR="00192B89">
        <w:rPr>
          <w:rFonts w:ascii="Garamond" w:hAnsi="Garamond"/>
          <w:sz w:val="24"/>
          <w:szCs w:val="24"/>
          <w:lang w:val="en-US"/>
        </w:rPr>
        <w:t>Route, and that significant safeguards would have to be introduced to improve the feasibility of the latter route</w:t>
      </w:r>
      <w:r w:rsidR="009F249D">
        <w:rPr>
          <w:rFonts w:ascii="Garamond" w:hAnsi="Garamond"/>
          <w:sz w:val="24"/>
          <w:szCs w:val="24"/>
          <w:lang w:val="en-US"/>
        </w:rPr>
        <w:t xml:space="preserve"> (</w:t>
      </w:r>
      <w:r w:rsidR="009F249D" w:rsidRPr="009F249D">
        <w:rPr>
          <w:rFonts w:ascii="Garamond" w:hAnsi="Garamond"/>
          <w:b/>
          <w:bCs/>
          <w:sz w:val="24"/>
          <w:szCs w:val="24"/>
          <w:lang w:val="en-US"/>
        </w:rPr>
        <w:t>2.</w:t>
      </w:r>
      <w:r w:rsidR="00A13376">
        <w:rPr>
          <w:rFonts w:ascii="Garamond" w:hAnsi="Garamond"/>
          <w:b/>
          <w:bCs/>
          <w:sz w:val="24"/>
          <w:szCs w:val="24"/>
          <w:lang w:val="en-US"/>
        </w:rPr>
        <w:t>3</w:t>
      </w:r>
      <w:r w:rsidR="009F249D" w:rsidRPr="009F249D">
        <w:rPr>
          <w:rFonts w:ascii="Garamond" w:hAnsi="Garamond"/>
          <w:b/>
          <w:bCs/>
          <w:sz w:val="24"/>
          <w:szCs w:val="24"/>
          <w:lang w:val="en-US"/>
        </w:rPr>
        <w:t>.</w:t>
      </w:r>
      <w:r w:rsidR="009F249D">
        <w:rPr>
          <w:rFonts w:ascii="Garamond" w:hAnsi="Garamond"/>
          <w:sz w:val="24"/>
          <w:szCs w:val="24"/>
          <w:lang w:val="en-US"/>
        </w:rPr>
        <w:t>)</w:t>
      </w:r>
      <w:r w:rsidR="00192B89">
        <w:rPr>
          <w:rFonts w:ascii="Garamond" w:hAnsi="Garamond"/>
          <w:sz w:val="24"/>
          <w:szCs w:val="24"/>
          <w:lang w:val="en-US"/>
        </w:rPr>
        <w:t xml:space="preserve"> </w:t>
      </w:r>
    </w:p>
    <w:p w14:paraId="577E0800" w14:textId="77777777" w:rsidR="006528C1" w:rsidRDefault="006528C1" w:rsidP="001340AF">
      <w:pPr>
        <w:spacing w:after="120" w:line="480" w:lineRule="auto"/>
        <w:jc w:val="both"/>
        <w:rPr>
          <w:rFonts w:ascii="Garamond" w:hAnsi="Garamond"/>
          <w:sz w:val="24"/>
          <w:szCs w:val="24"/>
          <w:lang w:val="en-US"/>
        </w:rPr>
      </w:pPr>
    </w:p>
    <w:p w14:paraId="21581394" w14:textId="68087C0B" w:rsidR="005F0D1B" w:rsidRPr="005F0D1B" w:rsidRDefault="00A262A5" w:rsidP="001340AF">
      <w:pPr>
        <w:pStyle w:val="Heading2"/>
        <w:numPr>
          <w:ilvl w:val="1"/>
          <w:numId w:val="35"/>
        </w:numPr>
        <w:spacing w:line="480" w:lineRule="auto"/>
        <w:rPr>
          <w:szCs w:val="24"/>
          <w:lang w:val="en-US"/>
        </w:rPr>
      </w:pPr>
      <w:bookmarkStart w:id="17" w:name="_Toc169217167"/>
      <w:bookmarkStart w:id="18" w:name="_Toc191740731"/>
      <w:r w:rsidRPr="00D56AF5">
        <w:rPr>
          <w:szCs w:val="24"/>
          <w:lang w:val="en-US"/>
        </w:rPr>
        <w:t>A framework of values</w:t>
      </w:r>
      <w:bookmarkEnd w:id="17"/>
      <w:bookmarkEnd w:id="18"/>
      <w:r w:rsidRPr="00D56AF5">
        <w:rPr>
          <w:szCs w:val="24"/>
          <w:lang w:val="en-US"/>
        </w:rPr>
        <w:t xml:space="preserve">  </w:t>
      </w:r>
    </w:p>
    <w:p w14:paraId="4C987131" w14:textId="02C4849F" w:rsidR="006A3353" w:rsidRDefault="006A3353" w:rsidP="001340AF">
      <w:pPr>
        <w:spacing w:after="120" w:line="480" w:lineRule="auto"/>
        <w:jc w:val="both"/>
        <w:rPr>
          <w:rFonts w:ascii="Garamond" w:hAnsi="Garamond"/>
          <w:sz w:val="24"/>
          <w:szCs w:val="24"/>
          <w:lang w:val="en-US"/>
        </w:rPr>
      </w:pPr>
      <w:r w:rsidRPr="006A3353">
        <w:rPr>
          <w:rFonts w:ascii="Garamond" w:hAnsi="Garamond"/>
          <w:sz w:val="24"/>
          <w:szCs w:val="24"/>
          <w:lang w:val="en-US"/>
        </w:rPr>
        <w:t xml:space="preserve">Although Lefkowitz argues that institutional moral reasoning must be holistic – a goal that is empirically infeasible – identifying at least </w:t>
      </w:r>
      <w:r w:rsidRPr="006A3353">
        <w:rPr>
          <w:rFonts w:ascii="Garamond" w:hAnsi="Garamond"/>
          <w:i/>
          <w:iCs/>
          <w:sz w:val="24"/>
          <w:szCs w:val="24"/>
          <w:lang w:val="en-US"/>
        </w:rPr>
        <w:t>some</w:t>
      </w:r>
      <w:r w:rsidRPr="006A3353">
        <w:rPr>
          <w:rFonts w:ascii="Garamond" w:hAnsi="Garamond"/>
          <w:sz w:val="24"/>
          <w:szCs w:val="24"/>
          <w:lang w:val="en-US"/>
        </w:rPr>
        <w:t xml:space="preserve"> moral and prudential concerns offers a useful starting point to determine whether </w:t>
      </w:r>
      <w:r w:rsidR="00346FBB">
        <w:rPr>
          <w:rFonts w:ascii="Garamond" w:hAnsi="Garamond"/>
          <w:sz w:val="24"/>
          <w:szCs w:val="24"/>
          <w:lang w:val="en-US"/>
        </w:rPr>
        <w:t xml:space="preserve">there is good reason for </w:t>
      </w:r>
      <w:r w:rsidRPr="006A3353">
        <w:rPr>
          <w:rFonts w:ascii="Garamond" w:hAnsi="Garamond"/>
          <w:sz w:val="24"/>
          <w:szCs w:val="24"/>
          <w:lang w:val="en-US"/>
        </w:rPr>
        <w:t>change. For the purposes of this paper, I will limit my discussion to three of the innumerable values that justify sovereignty</w:t>
      </w:r>
      <w:r>
        <w:rPr>
          <w:rFonts w:ascii="Garamond" w:hAnsi="Garamond"/>
          <w:sz w:val="24"/>
          <w:szCs w:val="24"/>
          <w:lang w:val="en-US"/>
        </w:rPr>
        <w:t>,</w:t>
      </w:r>
      <w:r w:rsidRPr="006A3353">
        <w:rPr>
          <w:rFonts w:ascii="Garamond" w:hAnsi="Garamond"/>
          <w:sz w:val="24"/>
          <w:szCs w:val="24"/>
          <w:lang w:val="en-US"/>
        </w:rPr>
        <w:t xml:space="preserve"> </w:t>
      </w:r>
      <w:proofErr w:type="gramStart"/>
      <w:r w:rsidRPr="006A3353">
        <w:rPr>
          <w:rFonts w:ascii="Garamond" w:hAnsi="Garamond"/>
          <w:sz w:val="24"/>
          <w:szCs w:val="24"/>
          <w:lang w:val="en-US"/>
        </w:rPr>
        <w:t>in an effort to</w:t>
      </w:r>
      <w:proofErr w:type="gramEnd"/>
      <w:r w:rsidRPr="006A3353">
        <w:rPr>
          <w:rFonts w:ascii="Garamond" w:hAnsi="Garamond"/>
          <w:sz w:val="24"/>
          <w:szCs w:val="24"/>
          <w:lang w:val="en-US"/>
        </w:rPr>
        <w:t xml:space="preserve"> contribute to </w:t>
      </w:r>
      <w:r w:rsidR="00B4437C">
        <w:rPr>
          <w:rFonts w:ascii="Garamond" w:hAnsi="Garamond"/>
          <w:sz w:val="24"/>
          <w:szCs w:val="24"/>
          <w:lang w:val="en-US"/>
        </w:rPr>
        <w:t xml:space="preserve">normative </w:t>
      </w:r>
      <w:r w:rsidRPr="006A3353">
        <w:rPr>
          <w:rFonts w:ascii="Garamond" w:hAnsi="Garamond"/>
          <w:sz w:val="24"/>
          <w:szCs w:val="24"/>
          <w:lang w:val="en-US"/>
        </w:rPr>
        <w:t>assessments of standing authorizations.</w:t>
      </w:r>
    </w:p>
    <w:p w14:paraId="4B5C892F" w14:textId="4621FF9F"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In our case, we find that standing authorizations for pro-democratic interventions affect primarily a political community’s choice of their own political system and government, and the question of who is best placed to make and/or enforce those decisions. Within the international legal order, autonomy in relation to these choices is protected by the values of self-determination, popular sovereignty, and subsidiarity. These are values that are not exclusive to external </w:t>
      </w:r>
      <w:proofErr w:type="gramStart"/>
      <w:r w:rsidRPr="00D56AF5">
        <w:rPr>
          <w:rFonts w:ascii="Garamond" w:hAnsi="Garamond"/>
          <w:sz w:val="24"/>
          <w:szCs w:val="24"/>
          <w:lang w:val="en-US"/>
        </w:rPr>
        <w:t>sovereignty, but</w:t>
      </w:r>
      <w:proofErr w:type="gramEnd"/>
      <w:r w:rsidRPr="00D56AF5">
        <w:rPr>
          <w:rFonts w:ascii="Garamond" w:hAnsi="Garamond"/>
          <w:sz w:val="24"/>
          <w:szCs w:val="24"/>
          <w:lang w:val="en-US"/>
        </w:rPr>
        <w:t xml:space="preserve"> generally underpin the international legal order. For example, the value of self-determination plays a part in justifying other legal concepts in international law including the human right to self-determination, the right of remedial secession, and legal claims to decolonization, internal self-government, and legitimate statehood.</w:t>
      </w:r>
      <w:r w:rsidRPr="00D56AF5">
        <w:rPr>
          <w:rStyle w:val="FootnoteReference"/>
          <w:rFonts w:ascii="Garamond" w:hAnsi="Garamond"/>
          <w:sz w:val="24"/>
          <w:szCs w:val="24"/>
          <w:lang w:val="en-US"/>
        </w:rPr>
        <w:footnoteReference w:id="120"/>
      </w:r>
      <w:r w:rsidRPr="00D56AF5">
        <w:rPr>
          <w:rFonts w:ascii="Garamond" w:hAnsi="Garamond"/>
          <w:sz w:val="24"/>
          <w:szCs w:val="24"/>
          <w:lang w:val="en-US"/>
        </w:rPr>
        <w:t xml:space="preserve"> </w:t>
      </w:r>
    </w:p>
    <w:p w14:paraId="3807AD96" w14:textId="2DD90230"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The legal concepts and institutions we employ within international law necessarily implicate the interests of the individuals constituting the political community of the state, and therefore need to be ultimately morally justified in terms of what is good for the human person.</w:t>
      </w:r>
      <w:r w:rsidRPr="00D56AF5">
        <w:rPr>
          <w:rStyle w:val="FootnoteReference"/>
          <w:rFonts w:ascii="Garamond" w:hAnsi="Garamond"/>
          <w:sz w:val="24"/>
          <w:szCs w:val="24"/>
          <w:lang w:val="en-US"/>
        </w:rPr>
        <w:footnoteReference w:id="121"/>
      </w:r>
      <w:r w:rsidRPr="00D56AF5">
        <w:rPr>
          <w:rFonts w:ascii="Garamond" w:hAnsi="Garamond"/>
          <w:sz w:val="24"/>
          <w:szCs w:val="24"/>
          <w:lang w:val="en-US"/>
        </w:rPr>
        <w:t xml:space="preserve"> I will assume for the purposes of the paper, that these three goods have value for political communities and </w:t>
      </w:r>
      <w:r w:rsidRPr="00D56AF5">
        <w:rPr>
          <w:rFonts w:ascii="Garamond" w:hAnsi="Garamond"/>
          <w:sz w:val="24"/>
          <w:szCs w:val="24"/>
          <w:lang w:val="en-US"/>
        </w:rPr>
        <w:lastRenderedPageBreak/>
        <w:t xml:space="preserve">ultimately promote the flourishing of </w:t>
      </w:r>
      <w:r w:rsidR="00346FBB">
        <w:rPr>
          <w:rFonts w:ascii="Garamond" w:hAnsi="Garamond"/>
          <w:sz w:val="24"/>
          <w:szCs w:val="24"/>
          <w:lang w:val="en-US"/>
        </w:rPr>
        <w:t>their</w:t>
      </w:r>
      <w:r w:rsidRPr="00D56AF5">
        <w:rPr>
          <w:rFonts w:ascii="Garamond" w:hAnsi="Garamond"/>
          <w:sz w:val="24"/>
          <w:szCs w:val="24"/>
          <w:lang w:val="en-US"/>
        </w:rPr>
        <w:t xml:space="preserve"> members.</w:t>
      </w:r>
      <w:r w:rsidR="0038644B" w:rsidRPr="00D56AF5">
        <w:rPr>
          <w:rFonts w:ascii="Garamond" w:hAnsi="Garamond"/>
          <w:sz w:val="24"/>
          <w:szCs w:val="24"/>
          <w:lang w:val="en-US"/>
        </w:rPr>
        <w:t xml:space="preserve"> </w:t>
      </w:r>
      <w:r w:rsidR="00BC3C85" w:rsidRPr="00D56AF5">
        <w:rPr>
          <w:rFonts w:ascii="Garamond" w:hAnsi="Garamond"/>
          <w:sz w:val="24"/>
          <w:szCs w:val="24"/>
          <w:lang w:val="en-US"/>
        </w:rPr>
        <w:t>While s</w:t>
      </w:r>
      <w:r w:rsidRPr="00D56AF5">
        <w:rPr>
          <w:rFonts w:ascii="Garamond" w:hAnsi="Garamond"/>
          <w:sz w:val="24"/>
          <w:szCs w:val="24"/>
          <w:lang w:val="en-US"/>
        </w:rPr>
        <w:t>cope precludes addressing the full extent of their rational justifications</w:t>
      </w:r>
      <w:r w:rsidR="00BC3C85" w:rsidRPr="00D56AF5">
        <w:rPr>
          <w:rFonts w:ascii="Garamond" w:hAnsi="Garamond"/>
          <w:sz w:val="24"/>
          <w:szCs w:val="24"/>
          <w:lang w:val="en-US"/>
        </w:rPr>
        <w:t>,</w:t>
      </w:r>
      <w:r w:rsidRPr="00D56AF5">
        <w:rPr>
          <w:rFonts w:ascii="Garamond" w:hAnsi="Garamond"/>
          <w:sz w:val="24"/>
          <w:szCs w:val="24"/>
          <w:lang w:val="en-US"/>
        </w:rPr>
        <w:t xml:space="preserve"> I will briefly explore their normative </w:t>
      </w:r>
      <w:r w:rsidR="00B66744" w:rsidRPr="00D56AF5">
        <w:rPr>
          <w:rFonts w:ascii="Garamond" w:hAnsi="Garamond"/>
          <w:sz w:val="24"/>
          <w:szCs w:val="24"/>
          <w:lang w:val="en-US"/>
        </w:rPr>
        <w:t>value</w:t>
      </w:r>
      <w:r w:rsidR="00840B6A">
        <w:rPr>
          <w:rFonts w:ascii="Garamond" w:hAnsi="Garamond"/>
          <w:sz w:val="24"/>
          <w:szCs w:val="24"/>
          <w:lang w:val="en-US"/>
        </w:rPr>
        <w:t xml:space="preserve"> and their relationship to state</w:t>
      </w:r>
      <w:r w:rsidR="0060300E">
        <w:rPr>
          <w:rFonts w:ascii="Garamond" w:hAnsi="Garamond"/>
          <w:sz w:val="24"/>
          <w:szCs w:val="24"/>
          <w:lang w:val="en-US"/>
        </w:rPr>
        <w:t xml:space="preserve"> sovereignty</w:t>
      </w:r>
      <w:r w:rsidRPr="00D56AF5">
        <w:rPr>
          <w:rFonts w:ascii="Garamond" w:hAnsi="Garamond"/>
          <w:sz w:val="24"/>
          <w:szCs w:val="24"/>
          <w:lang w:val="en-US"/>
        </w:rPr>
        <w:t xml:space="preserve">. </w:t>
      </w:r>
    </w:p>
    <w:p w14:paraId="1EDCCEBA" w14:textId="619AEE64" w:rsidR="00346FBB" w:rsidRPr="00346FBB" w:rsidRDefault="00A262A5" w:rsidP="00B679CD">
      <w:pPr>
        <w:pStyle w:val="Heading3"/>
        <w:numPr>
          <w:ilvl w:val="2"/>
          <w:numId w:val="35"/>
        </w:numPr>
        <w:rPr>
          <w:lang w:val="en-US"/>
        </w:rPr>
      </w:pPr>
      <w:bookmarkStart w:id="19" w:name="_Toc191740732"/>
      <w:r w:rsidRPr="00346FBB">
        <w:rPr>
          <w:lang w:val="en-US"/>
        </w:rPr>
        <w:t>Self-determination</w:t>
      </w:r>
      <w:bookmarkEnd w:id="19"/>
    </w:p>
    <w:p w14:paraId="199B2158" w14:textId="60D9CEBB" w:rsidR="00A262A5" w:rsidRPr="00346FBB" w:rsidRDefault="00A262A5" w:rsidP="001340AF">
      <w:pPr>
        <w:spacing w:after="120" w:line="480" w:lineRule="auto"/>
        <w:jc w:val="both"/>
        <w:rPr>
          <w:rFonts w:ascii="Garamond" w:hAnsi="Garamond"/>
          <w:sz w:val="24"/>
          <w:szCs w:val="24"/>
          <w:lang w:val="en-US"/>
        </w:rPr>
      </w:pPr>
      <w:r w:rsidRPr="00346FBB">
        <w:rPr>
          <w:rFonts w:ascii="Garamond" w:hAnsi="Garamond"/>
          <w:sz w:val="24"/>
          <w:szCs w:val="24"/>
          <w:lang w:val="en-US"/>
        </w:rPr>
        <w:t xml:space="preserve">I take self-determination to mean the capacity of a </w:t>
      </w:r>
      <w:r w:rsidR="002E5E9B" w:rsidRPr="00346FBB">
        <w:rPr>
          <w:rFonts w:ascii="Garamond" w:hAnsi="Garamond"/>
          <w:sz w:val="24"/>
          <w:szCs w:val="24"/>
          <w:lang w:val="en-US"/>
        </w:rPr>
        <w:t xml:space="preserve">group </w:t>
      </w:r>
      <w:r w:rsidRPr="00346FBB">
        <w:rPr>
          <w:rFonts w:ascii="Garamond" w:hAnsi="Garamond"/>
          <w:sz w:val="24"/>
          <w:szCs w:val="24"/>
          <w:lang w:val="en-US"/>
        </w:rPr>
        <w:t>to make decisions for itself about its political, economic, social, and cultural systems.</w:t>
      </w:r>
      <w:r w:rsidRPr="00D56AF5">
        <w:rPr>
          <w:rStyle w:val="FootnoteReference"/>
          <w:rFonts w:ascii="Garamond" w:hAnsi="Garamond"/>
          <w:sz w:val="24"/>
          <w:szCs w:val="24"/>
          <w:lang w:val="en-US"/>
        </w:rPr>
        <w:footnoteReference w:id="122"/>
      </w:r>
      <w:r w:rsidRPr="00346FBB">
        <w:rPr>
          <w:rFonts w:ascii="Garamond" w:hAnsi="Garamond"/>
          <w:sz w:val="24"/>
          <w:szCs w:val="24"/>
          <w:lang w:val="en-US"/>
        </w:rPr>
        <w:t xml:space="preserve"> Self-determination protects the autonomy of the political community,</w:t>
      </w:r>
      <w:r w:rsidRPr="00D56AF5">
        <w:rPr>
          <w:rStyle w:val="FootnoteReference"/>
          <w:rFonts w:ascii="Garamond" w:hAnsi="Garamond"/>
          <w:sz w:val="24"/>
          <w:szCs w:val="24"/>
          <w:lang w:val="en-US"/>
        </w:rPr>
        <w:footnoteReference w:id="123"/>
      </w:r>
      <w:r w:rsidRPr="00346FBB">
        <w:rPr>
          <w:rFonts w:ascii="Garamond" w:hAnsi="Garamond"/>
          <w:sz w:val="24"/>
          <w:szCs w:val="24"/>
          <w:lang w:val="en-US"/>
        </w:rPr>
        <w:t xml:space="preserve"> and although often associated with democratic representation, it is </w:t>
      </w:r>
      <w:proofErr w:type="gramStart"/>
      <w:r w:rsidR="003A25FD" w:rsidRPr="00346FBB">
        <w:rPr>
          <w:rFonts w:ascii="Garamond" w:hAnsi="Garamond"/>
          <w:sz w:val="24"/>
          <w:szCs w:val="24"/>
          <w:lang w:val="en-US"/>
        </w:rPr>
        <w:t xml:space="preserve">really </w:t>
      </w:r>
      <w:r w:rsidRPr="00346FBB">
        <w:rPr>
          <w:rFonts w:ascii="Garamond" w:hAnsi="Garamond"/>
          <w:sz w:val="24"/>
          <w:szCs w:val="24"/>
          <w:lang w:val="en-US"/>
        </w:rPr>
        <w:t>agnostic</w:t>
      </w:r>
      <w:proofErr w:type="gramEnd"/>
      <w:r w:rsidRPr="00346FBB">
        <w:rPr>
          <w:rFonts w:ascii="Garamond" w:hAnsi="Garamond"/>
          <w:sz w:val="24"/>
          <w:szCs w:val="24"/>
          <w:lang w:val="en-US"/>
        </w:rPr>
        <w:t xml:space="preserve"> to form of government, entailing the freedom to decide against a democratic system.</w:t>
      </w:r>
      <w:r w:rsidRPr="00D56AF5">
        <w:rPr>
          <w:rStyle w:val="FootnoteReference"/>
          <w:rFonts w:ascii="Garamond" w:hAnsi="Garamond"/>
          <w:sz w:val="24"/>
          <w:szCs w:val="24"/>
          <w:lang w:val="en-US"/>
        </w:rPr>
        <w:footnoteReference w:id="124"/>
      </w:r>
      <w:r w:rsidRPr="00346FBB">
        <w:rPr>
          <w:rFonts w:ascii="Garamond" w:hAnsi="Garamond"/>
          <w:sz w:val="24"/>
          <w:szCs w:val="24"/>
          <w:lang w:val="en-US"/>
        </w:rPr>
        <w:t xml:space="preserve"> </w:t>
      </w:r>
    </w:p>
    <w:p w14:paraId="31498CDD" w14:textId="6D9A8B6E" w:rsidR="008A5C39"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The value of self-determination derives from the autonomy of individuals</w:t>
      </w:r>
      <w:r w:rsidR="008C6673" w:rsidRPr="00D56AF5">
        <w:rPr>
          <w:rFonts w:ascii="Garamond" w:hAnsi="Garamond"/>
          <w:sz w:val="24"/>
          <w:szCs w:val="24"/>
          <w:lang w:val="en-US"/>
        </w:rPr>
        <w:t xml:space="preserve"> –</w:t>
      </w:r>
      <w:r w:rsidRPr="00D56AF5">
        <w:rPr>
          <w:rFonts w:ascii="Garamond" w:hAnsi="Garamond"/>
          <w:sz w:val="24"/>
          <w:szCs w:val="24"/>
          <w:lang w:val="en-US"/>
        </w:rPr>
        <w:t xml:space="preserve"> </w:t>
      </w:r>
      <w:r w:rsidR="008C6673" w:rsidRPr="00D56AF5">
        <w:rPr>
          <w:rFonts w:ascii="Garamond" w:hAnsi="Garamond"/>
          <w:sz w:val="24"/>
          <w:szCs w:val="24"/>
          <w:lang w:val="en-US"/>
        </w:rPr>
        <w:t xml:space="preserve">their </w:t>
      </w:r>
      <w:r w:rsidRPr="00D56AF5">
        <w:rPr>
          <w:rFonts w:ascii="Garamond" w:hAnsi="Garamond"/>
          <w:sz w:val="24"/>
          <w:szCs w:val="24"/>
          <w:lang w:val="en-US"/>
        </w:rPr>
        <w:t>interest</w:t>
      </w:r>
      <w:r w:rsidR="008C6673" w:rsidRPr="00D56AF5">
        <w:rPr>
          <w:rFonts w:ascii="Garamond" w:hAnsi="Garamond"/>
          <w:sz w:val="24"/>
          <w:szCs w:val="24"/>
          <w:lang w:val="en-US"/>
        </w:rPr>
        <w:t>s</w:t>
      </w:r>
      <w:r w:rsidRPr="00D56AF5">
        <w:rPr>
          <w:rFonts w:ascii="Garamond" w:hAnsi="Garamond"/>
          <w:sz w:val="24"/>
          <w:szCs w:val="24"/>
          <w:lang w:val="en-US"/>
        </w:rPr>
        <w:t xml:space="preserve"> in directing their lives as rational agents and “co-authors” of the political institutions that govern them.</w:t>
      </w:r>
      <w:r w:rsidRPr="00D56AF5">
        <w:rPr>
          <w:rStyle w:val="FootnoteReference"/>
          <w:rFonts w:ascii="Garamond" w:hAnsi="Garamond"/>
          <w:sz w:val="24"/>
          <w:szCs w:val="24"/>
          <w:lang w:val="en-US"/>
        </w:rPr>
        <w:footnoteReference w:id="125"/>
      </w:r>
      <w:r w:rsidRPr="00D56AF5">
        <w:rPr>
          <w:rFonts w:ascii="Garamond" w:hAnsi="Garamond"/>
          <w:sz w:val="24"/>
          <w:szCs w:val="24"/>
          <w:lang w:val="en-US"/>
        </w:rPr>
        <w:t xml:space="preserve"> </w:t>
      </w:r>
      <w:r w:rsidR="008601C5">
        <w:rPr>
          <w:rFonts w:ascii="Garamond" w:hAnsi="Garamond"/>
          <w:sz w:val="24"/>
          <w:szCs w:val="24"/>
          <w:lang w:val="en-US"/>
        </w:rPr>
        <w:t>It</w:t>
      </w:r>
      <w:r w:rsidRPr="00D56AF5">
        <w:rPr>
          <w:rFonts w:ascii="Garamond" w:hAnsi="Garamond"/>
          <w:sz w:val="24"/>
          <w:szCs w:val="24"/>
          <w:lang w:val="en-US"/>
        </w:rPr>
        <w:t xml:space="preserve"> </w:t>
      </w:r>
      <w:r w:rsidR="008601C5">
        <w:rPr>
          <w:rFonts w:ascii="Garamond" w:hAnsi="Garamond"/>
          <w:sz w:val="24"/>
          <w:szCs w:val="24"/>
          <w:lang w:val="en-US"/>
        </w:rPr>
        <w:t xml:space="preserve">is </w:t>
      </w:r>
      <w:r w:rsidRPr="00D56AF5">
        <w:rPr>
          <w:rFonts w:ascii="Garamond" w:hAnsi="Garamond"/>
          <w:sz w:val="24"/>
          <w:szCs w:val="24"/>
          <w:lang w:val="en-US"/>
        </w:rPr>
        <w:t xml:space="preserve">not equivalent to </w:t>
      </w:r>
      <w:proofErr w:type="gramStart"/>
      <w:r w:rsidRPr="00D56AF5">
        <w:rPr>
          <w:rFonts w:ascii="Garamond" w:hAnsi="Garamond"/>
          <w:sz w:val="24"/>
          <w:szCs w:val="24"/>
          <w:lang w:val="en-US"/>
        </w:rPr>
        <w:t>each individual’s</w:t>
      </w:r>
      <w:proofErr w:type="gramEnd"/>
      <w:r w:rsidRPr="00D56AF5">
        <w:rPr>
          <w:rFonts w:ascii="Garamond" w:hAnsi="Garamond"/>
          <w:sz w:val="24"/>
          <w:szCs w:val="24"/>
          <w:lang w:val="en-US"/>
        </w:rPr>
        <w:t xml:space="preserve"> interest in autonomy</w:t>
      </w:r>
      <w:r w:rsidR="008601C5">
        <w:rPr>
          <w:rFonts w:ascii="Garamond" w:hAnsi="Garamond"/>
          <w:sz w:val="24"/>
          <w:szCs w:val="24"/>
          <w:lang w:val="en-US"/>
        </w:rPr>
        <w:t xml:space="preserve"> but is</w:t>
      </w:r>
      <w:r w:rsidRPr="00D56AF5">
        <w:rPr>
          <w:rFonts w:ascii="Garamond" w:hAnsi="Garamond"/>
          <w:sz w:val="24"/>
          <w:szCs w:val="24"/>
          <w:lang w:val="en-US"/>
        </w:rPr>
        <w:t xml:space="preserve"> </w:t>
      </w:r>
      <w:r w:rsidR="008601C5">
        <w:rPr>
          <w:rFonts w:ascii="Garamond" w:hAnsi="Garamond"/>
          <w:sz w:val="24"/>
          <w:szCs w:val="24"/>
          <w:lang w:val="en-US"/>
        </w:rPr>
        <w:t xml:space="preserve">rather the </w:t>
      </w:r>
      <w:r w:rsidRPr="00D56AF5">
        <w:rPr>
          <w:rFonts w:ascii="Garamond" w:hAnsi="Garamond"/>
          <w:sz w:val="24"/>
          <w:szCs w:val="24"/>
          <w:lang w:val="en-US"/>
        </w:rPr>
        <w:t>product of individual interests in exercising autonomy through a group.</w:t>
      </w:r>
      <w:r w:rsidR="008601C5">
        <w:rPr>
          <w:rStyle w:val="FootnoteReference"/>
          <w:rFonts w:ascii="Garamond" w:hAnsi="Garamond"/>
          <w:sz w:val="24"/>
          <w:szCs w:val="24"/>
          <w:lang w:val="en-US"/>
        </w:rPr>
        <w:footnoteReference w:id="126"/>
      </w:r>
    </w:p>
    <w:p w14:paraId="6F5AFC3E" w14:textId="4C32D873"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Self-determination only has meaning in community</w:t>
      </w:r>
      <w:r w:rsidR="008601C5">
        <w:rPr>
          <w:rFonts w:ascii="Garamond" w:hAnsi="Garamond"/>
          <w:sz w:val="24"/>
          <w:szCs w:val="24"/>
          <w:lang w:val="en-US"/>
        </w:rPr>
        <w:t>.</w:t>
      </w:r>
      <w:r w:rsidR="008A5C39" w:rsidRPr="00D56AF5">
        <w:rPr>
          <w:rFonts w:ascii="Garamond" w:hAnsi="Garamond"/>
          <w:sz w:val="24"/>
          <w:szCs w:val="24"/>
          <w:lang w:val="en-US"/>
        </w:rPr>
        <w:t xml:space="preserve"> </w:t>
      </w:r>
      <w:r w:rsidR="008601C5">
        <w:rPr>
          <w:rFonts w:ascii="Garamond" w:hAnsi="Garamond"/>
          <w:sz w:val="24"/>
          <w:szCs w:val="24"/>
          <w:lang w:val="en-US"/>
        </w:rPr>
        <w:t xml:space="preserve">Not </w:t>
      </w:r>
      <w:r w:rsidRPr="00D56AF5">
        <w:rPr>
          <w:rFonts w:ascii="Garamond" w:hAnsi="Garamond"/>
          <w:sz w:val="24"/>
          <w:szCs w:val="24"/>
          <w:lang w:val="en-US"/>
        </w:rPr>
        <w:t>all groups draw self-determination rights, but only those ‘peoples’ which have a common character and culture, and offer a distinctive membership that is important to the well-being and self-identity of individual</w:t>
      </w:r>
      <w:r w:rsidR="003E3BA0" w:rsidRPr="00D56AF5">
        <w:rPr>
          <w:rFonts w:ascii="Garamond" w:hAnsi="Garamond"/>
          <w:sz w:val="24"/>
          <w:szCs w:val="24"/>
          <w:lang w:val="en-US"/>
        </w:rPr>
        <w:t xml:space="preserve"> members</w:t>
      </w:r>
      <w:r w:rsidRPr="00D56AF5">
        <w:rPr>
          <w:rFonts w:ascii="Garamond" w:hAnsi="Garamond"/>
          <w:sz w:val="24"/>
          <w:szCs w:val="24"/>
          <w:lang w:val="en-US"/>
        </w:rPr>
        <w:t>.</w:t>
      </w:r>
      <w:r w:rsidRPr="00D56AF5">
        <w:rPr>
          <w:rStyle w:val="FootnoteReference"/>
          <w:rFonts w:ascii="Garamond" w:hAnsi="Garamond"/>
          <w:sz w:val="24"/>
          <w:szCs w:val="24"/>
          <w:lang w:val="en-US"/>
        </w:rPr>
        <w:footnoteReference w:id="127"/>
      </w:r>
      <w:r w:rsidRPr="00D56AF5">
        <w:rPr>
          <w:rFonts w:ascii="Garamond" w:hAnsi="Garamond"/>
          <w:sz w:val="24"/>
          <w:szCs w:val="24"/>
          <w:lang w:val="en-US"/>
        </w:rPr>
        <w:t xml:space="preserve"> The individual holds an interests in the flourishing of the group as a whole,</w:t>
      </w:r>
      <w:r w:rsidRPr="00D56AF5">
        <w:rPr>
          <w:rStyle w:val="FootnoteReference"/>
          <w:rFonts w:ascii="Garamond" w:hAnsi="Garamond"/>
          <w:sz w:val="24"/>
          <w:szCs w:val="24"/>
          <w:lang w:val="en-US"/>
        </w:rPr>
        <w:footnoteReference w:id="128"/>
      </w:r>
      <w:r w:rsidRPr="00D56AF5">
        <w:rPr>
          <w:rFonts w:ascii="Garamond" w:hAnsi="Garamond"/>
          <w:sz w:val="24"/>
          <w:szCs w:val="24"/>
          <w:lang w:val="en-US"/>
        </w:rPr>
        <w:t xml:space="preserve"> and self-determination ensures that the rules of the community reflect the values and priorities of its subjects together.</w:t>
      </w:r>
      <w:r w:rsidRPr="00D56AF5">
        <w:rPr>
          <w:rStyle w:val="FootnoteReference"/>
          <w:rFonts w:ascii="Garamond" w:hAnsi="Garamond"/>
          <w:sz w:val="24"/>
          <w:szCs w:val="24"/>
          <w:lang w:val="en-US"/>
        </w:rPr>
        <w:footnoteReference w:id="129"/>
      </w:r>
      <w:r w:rsidRPr="00D56AF5">
        <w:rPr>
          <w:rFonts w:ascii="Garamond" w:hAnsi="Garamond"/>
          <w:sz w:val="24"/>
          <w:szCs w:val="24"/>
          <w:lang w:val="en-US"/>
        </w:rPr>
        <w:t xml:space="preserve"> Since self-determination </w:t>
      </w:r>
      <w:r w:rsidR="008601C5">
        <w:rPr>
          <w:rFonts w:ascii="Garamond" w:hAnsi="Garamond"/>
          <w:sz w:val="24"/>
          <w:szCs w:val="24"/>
          <w:lang w:val="en-US"/>
        </w:rPr>
        <w:t xml:space="preserve">is </w:t>
      </w:r>
      <w:r w:rsidRPr="00D56AF5">
        <w:rPr>
          <w:rFonts w:ascii="Garamond" w:hAnsi="Garamond"/>
          <w:sz w:val="24"/>
          <w:szCs w:val="24"/>
          <w:lang w:val="en-US"/>
        </w:rPr>
        <w:t xml:space="preserve">ultimately </w:t>
      </w:r>
      <w:r w:rsidR="00753D7D" w:rsidRPr="00D56AF5">
        <w:rPr>
          <w:rFonts w:ascii="Garamond" w:hAnsi="Garamond"/>
          <w:sz w:val="24"/>
          <w:szCs w:val="24"/>
          <w:lang w:val="en-US"/>
        </w:rPr>
        <w:t xml:space="preserve">compatible with </w:t>
      </w:r>
      <w:r w:rsidR="008B2CA3" w:rsidRPr="00D56AF5">
        <w:rPr>
          <w:rFonts w:ascii="Garamond" w:hAnsi="Garamond"/>
          <w:sz w:val="24"/>
          <w:szCs w:val="24"/>
          <w:lang w:val="en-US"/>
        </w:rPr>
        <w:t>value individualism</w:t>
      </w:r>
      <w:r w:rsidRPr="00D56AF5">
        <w:rPr>
          <w:rFonts w:ascii="Garamond" w:hAnsi="Garamond"/>
          <w:sz w:val="24"/>
          <w:szCs w:val="24"/>
          <w:lang w:val="en-US"/>
        </w:rPr>
        <w:t xml:space="preserve">, a state or community </w:t>
      </w:r>
      <w:r w:rsidRPr="00D56AF5">
        <w:rPr>
          <w:rFonts w:ascii="Garamond" w:hAnsi="Garamond"/>
          <w:sz w:val="24"/>
          <w:szCs w:val="24"/>
          <w:lang w:val="en-US"/>
        </w:rPr>
        <w:lastRenderedPageBreak/>
        <w:t>would draw a moral right to self-determination only if it can show a willingness to protect and respect the good of its members.</w:t>
      </w:r>
      <w:r w:rsidRPr="00D56AF5">
        <w:rPr>
          <w:rStyle w:val="FootnoteReference"/>
          <w:rFonts w:ascii="Garamond" w:hAnsi="Garamond"/>
          <w:sz w:val="24"/>
          <w:szCs w:val="24"/>
          <w:lang w:val="en-US"/>
        </w:rPr>
        <w:footnoteReference w:id="130"/>
      </w:r>
    </w:p>
    <w:p w14:paraId="108BB71C" w14:textId="77236576"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A very large part of sovereignty’s value comes from its ability to provide a structure for communal life and all that it implies – a territorially limited social life which provides more than just the goods essential for survival, but which also provides opportunities for community-defined relationships, selfhood and participation in decision making.</w:t>
      </w:r>
      <w:r w:rsidRPr="00D56AF5">
        <w:rPr>
          <w:rStyle w:val="FootnoteReference"/>
          <w:rFonts w:ascii="Garamond" w:hAnsi="Garamond"/>
          <w:sz w:val="24"/>
          <w:szCs w:val="24"/>
          <w:lang w:val="en-US"/>
        </w:rPr>
        <w:footnoteReference w:id="131"/>
      </w:r>
      <w:r w:rsidRPr="00D56AF5">
        <w:rPr>
          <w:rFonts w:ascii="Garamond" w:hAnsi="Garamond"/>
          <w:sz w:val="24"/>
          <w:szCs w:val="24"/>
          <w:lang w:val="en-US"/>
        </w:rPr>
        <w:t xml:space="preserve"> The deontological character of the moral right to self-determination precludes third-party interference in its exercise, even when the third party </w:t>
      </w:r>
      <w:r w:rsidR="00CA0C99" w:rsidRPr="00D56AF5">
        <w:rPr>
          <w:rFonts w:ascii="Garamond" w:hAnsi="Garamond"/>
          <w:sz w:val="24"/>
          <w:szCs w:val="24"/>
          <w:lang w:val="en-US"/>
        </w:rPr>
        <w:t>may make more effective</w:t>
      </w:r>
      <w:r w:rsidRPr="00D56AF5">
        <w:rPr>
          <w:rFonts w:ascii="Garamond" w:hAnsi="Garamond"/>
          <w:sz w:val="24"/>
          <w:szCs w:val="24"/>
          <w:lang w:val="en-US"/>
        </w:rPr>
        <w:t xml:space="preserve"> decisions.</w:t>
      </w:r>
      <w:r w:rsidRPr="00D56AF5">
        <w:rPr>
          <w:rStyle w:val="FootnoteReference"/>
          <w:rFonts w:ascii="Garamond" w:hAnsi="Garamond"/>
          <w:sz w:val="24"/>
          <w:szCs w:val="24"/>
          <w:lang w:val="en-US"/>
        </w:rPr>
        <w:footnoteReference w:id="132"/>
      </w:r>
      <w:r w:rsidRPr="00D56AF5">
        <w:rPr>
          <w:rFonts w:ascii="Garamond" w:hAnsi="Garamond"/>
          <w:sz w:val="24"/>
          <w:szCs w:val="24"/>
          <w:lang w:val="en-US"/>
        </w:rPr>
        <w:t xml:space="preserve"> </w:t>
      </w:r>
      <w:r w:rsidR="00E33A8D" w:rsidRPr="00D56AF5">
        <w:rPr>
          <w:rFonts w:ascii="Garamond" w:hAnsi="Garamond"/>
          <w:sz w:val="24"/>
          <w:szCs w:val="24"/>
          <w:lang w:val="en-US"/>
        </w:rPr>
        <w:t>Accordingly, a</w:t>
      </w:r>
      <w:r w:rsidRPr="00D56AF5">
        <w:rPr>
          <w:rFonts w:ascii="Garamond" w:hAnsi="Garamond"/>
          <w:sz w:val="24"/>
          <w:szCs w:val="24"/>
          <w:lang w:val="en-US"/>
        </w:rPr>
        <w:t xml:space="preserve"> system of sovereign states facilitates peaceful coexistence by allowing political communities to subscribe to different values and ideals, while guaranteeing mutual non-interference in the exercise of </w:t>
      </w:r>
      <w:r w:rsidR="009D445E" w:rsidRPr="00D56AF5">
        <w:rPr>
          <w:rFonts w:ascii="Garamond" w:hAnsi="Garamond"/>
          <w:sz w:val="24"/>
          <w:szCs w:val="24"/>
          <w:lang w:val="en-US"/>
        </w:rPr>
        <w:t>self-determination</w:t>
      </w:r>
      <w:r w:rsidRPr="00D56AF5">
        <w:rPr>
          <w:rFonts w:ascii="Garamond" w:hAnsi="Garamond"/>
          <w:sz w:val="24"/>
          <w:szCs w:val="24"/>
          <w:lang w:val="en-US"/>
        </w:rPr>
        <w:t>.</w:t>
      </w:r>
      <w:r w:rsidRPr="00D56AF5">
        <w:rPr>
          <w:rStyle w:val="FootnoteReference"/>
          <w:rFonts w:ascii="Garamond" w:hAnsi="Garamond"/>
          <w:sz w:val="24"/>
          <w:szCs w:val="24"/>
          <w:lang w:val="en-US"/>
        </w:rPr>
        <w:footnoteReference w:id="133"/>
      </w:r>
    </w:p>
    <w:p w14:paraId="77C9AE98" w14:textId="33651012" w:rsidR="00346FBB" w:rsidRDefault="00A262A5" w:rsidP="00B679CD">
      <w:pPr>
        <w:pStyle w:val="Heading3"/>
        <w:numPr>
          <w:ilvl w:val="2"/>
          <w:numId w:val="35"/>
        </w:numPr>
        <w:rPr>
          <w:lang w:val="en-US"/>
        </w:rPr>
      </w:pPr>
      <w:bookmarkStart w:id="20" w:name="_Toc191740733"/>
      <w:r w:rsidRPr="00346FBB">
        <w:rPr>
          <w:lang w:val="en-US"/>
        </w:rPr>
        <w:t>Popular sovereignty</w:t>
      </w:r>
      <w:bookmarkEnd w:id="20"/>
    </w:p>
    <w:p w14:paraId="5AFC65E4" w14:textId="1ACAF946" w:rsidR="00A262A5" w:rsidRPr="00346FBB" w:rsidRDefault="00A262A5" w:rsidP="001340AF">
      <w:pPr>
        <w:spacing w:after="120" w:line="480" w:lineRule="auto"/>
        <w:jc w:val="both"/>
        <w:rPr>
          <w:rFonts w:ascii="Garamond" w:hAnsi="Garamond"/>
          <w:b/>
          <w:bCs/>
          <w:sz w:val="24"/>
          <w:szCs w:val="24"/>
          <w:lang w:val="en-US"/>
        </w:rPr>
      </w:pPr>
      <w:r w:rsidRPr="00346FBB">
        <w:rPr>
          <w:rFonts w:ascii="Garamond" w:hAnsi="Garamond"/>
          <w:sz w:val="24"/>
          <w:szCs w:val="24"/>
          <w:lang w:val="en-US"/>
        </w:rPr>
        <w:t>Although self-determination is sometimes cited as the international law analogue of popular sovereignty,</w:t>
      </w:r>
      <w:r w:rsidRPr="00D56AF5">
        <w:rPr>
          <w:rStyle w:val="FootnoteReference"/>
          <w:rFonts w:ascii="Garamond" w:hAnsi="Garamond"/>
          <w:sz w:val="24"/>
          <w:szCs w:val="24"/>
          <w:lang w:val="en-US"/>
        </w:rPr>
        <w:footnoteReference w:id="134"/>
      </w:r>
      <w:r w:rsidRPr="00346FBB">
        <w:rPr>
          <w:rFonts w:ascii="Garamond" w:hAnsi="Garamond"/>
          <w:sz w:val="24"/>
          <w:szCs w:val="24"/>
          <w:lang w:val="en-US"/>
        </w:rPr>
        <w:t xml:space="preserve"> I</w:t>
      </w:r>
      <w:r w:rsidR="008C7799" w:rsidRPr="00346FBB">
        <w:rPr>
          <w:rFonts w:ascii="Garamond" w:hAnsi="Garamond"/>
          <w:sz w:val="24"/>
          <w:szCs w:val="24"/>
          <w:lang w:val="en-US"/>
        </w:rPr>
        <w:t xml:space="preserve"> will</w:t>
      </w:r>
      <w:r w:rsidRPr="00346FBB">
        <w:rPr>
          <w:rFonts w:ascii="Garamond" w:hAnsi="Garamond"/>
          <w:sz w:val="24"/>
          <w:szCs w:val="24"/>
          <w:lang w:val="en-US"/>
        </w:rPr>
        <w:t xml:space="preserve"> treat the two values as </w:t>
      </w:r>
      <w:r w:rsidR="008C7799" w:rsidRPr="00346FBB">
        <w:rPr>
          <w:rFonts w:ascii="Garamond" w:hAnsi="Garamond"/>
          <w:sz w:val="24"/>
          <w:szCs w:val="24"/>
          <w:lang w:val="en-US"/>
        </w:rPr>
        <w:t xml:space="preserve">related </w:t>
      </w:r>
      <w:r w:rsidRPr="00346FBB">
        <w:rPr>
          <w:rFonts w:ascii="Garamond" w:hAnsi="Garamond"/>
          <w:sz w:val="24"/>
          <w:szCs w:val="24"/>
          <w:lang w:val="en-US"/>
        </w:rPr>
        <w:t xml:space="preserve">albeit </w:t>
      </w:r>
      <w:r w:rsidR="008C7799" w:rsidRPr="00346FBB">
        <w:rPr>
          <w:rFonts w:ascii="Garamond" w:hAnsi="Garamond"/>
          <w:sz w:val="24"/>
          <w:szCs w:val="24"/>
          <w:lang w:val="en-US"/>
        </w:rPr>
        <w:t>distinct</w:t>
      </w:r>
      <w:r w:rsidRPr="00346FBB">
        <w:rPr>
          <w:rFonts w:ascii="Garamond" w:hAnsi="Garamond"/>
          <w:sz w:val="24"/>
          <w:szCs w:val="24"/>
          <w:lang w:val="en-US"/>
        </w:rPr>
        <w:t xml:space="preserve">, because of important differences in their </w:t>
      </w:r>
      <w:r w:rsidR="009C18C7" w:rsidRPr="00346FBB">
        <w:rPr>
          <w:rFonts w:ascii="Garamond" w:hAnsi="Garamond"/>
          <w:sz w:val="24"/>
          <w:szCs w:val="24"/>
          <w:lang w:val="en-US"/>
        </w:rPr>
        <w:t xml:space="preserve">normative </w:t>
      </w:r>
      <w:r w:rsidR="0023578C" w:rsidRPr="00346FBB">
        <w:rPr>
          <w:rFonts w:ascii="Garamond" w:hAnsi="Garamond"/>
          <w:sz w:val="24"/>
          <w:szCs w:val="24"/>
          <w:lang w:val="en-US"/>
        </w:rPr>
        <w:t xml:space="preserve">role </w:t>
      </w:r>
      <w:r w:rsidRPr="00346FBB">
        <w:rPr>
          <w:rFonts w:ascii="Garamond" w:hAnsi="Garamond"/>
          <w:sz w:val="24"/>
          <w:szCs w:val="24"/>
          <w:lang w:val="en-US"/>
        </w:rPr>
        <w:t xml:space="preserve">and consequences in international law.  </w:t>
      </w:r>
    </w:p>
    <w:p w14:paraId="1FDDC8ED" w14:textId="77777777" w:rsidR="00A262A5" w:rsidRPr="00D56AF5" w:rsidRDefault="00A262A5" w:rsidP="001340AF">
      <w:pPr>
        <w:spacing w:after="120" w:line="480" w:lineRule="auto"/>
        <w:jc w:val="both"/>
        <w:rPr>
          <w:rFonts w:ascii="Garamond" w:hAnsi="Garamond" w:cs="Times New Roman"/>
          <w:sz w:val="24"/>
          <w:szCs w:val="24"/>
          <w:lang w:val="en-US"/>
        </w:rPr>
      </w:pPr>
      <w:r w:rsidRPr="00D56AF5">
        <w:rPr>
          <w:rFonts w:ascii="Garamond" w:hAnsi="Garamond"/>
          <w:sz w:val="24"/>
          <w:szCs w:val="24"/>
          <w:lang w:val="en-US"/>
        </w:rPr>
        <w:t>Contemporary international law protects the ‘people’s sovereignty’ and not the ‘sovereign’s sovereignty’.</w:t>
      </w:r>
      <w:r w:rsidRPr="00D56AF5">
        <w:rPr>
          <w:rStyle w:val="FootnoteReference"/>
          <w:rFonts w:ascii="Garamond" w:hAnsi="Garamond"/>
          <w:sz w:val="24"/>
          <w:szCs w:val="24"/>
          <w:lang w:val="en-US"/>
        </w:rPr>
        <w:footnoteReference w:id="135"/>
      </w:r>
      <w:r w:rsidRPr="00D56AF5">
        <w:rPr>
          <w:rFonts w:ascii="Garamond" w:hAnsi="Garamond"/>
          <w:sz w:val="24"/>
          <w:szCs w:val="24"/>
          <w:lang w:val="en-US"/>
        </w:rPr>
        <w:t xml:space="preserve"> P</w:t>
      </w:r>
      <w:r w:rsidRPr="00D56AF5">
        <w:rPr>
          <w:rFonts w:ascii="Garamond" w:hAnsi="Garamond" w:cs="Times New Roman"/>
          <w:sz w:val="24"/>
          <w:szCs w:val="24"/>
          <w:lang w:val="en-US"/>
        </w:rPr>
        <w:t>opular sovereignty is the specific conception that locates the authority and legitimacy of a government in the unified will of the people.</w:t>
      </w:r>
      <w:r w:rsidRPr="00D56AF5">
        <w:rPr>
          <w:rStyle w:val="FootnoteReference"/>
          <w:rFonts w:ascii="Garamond" w:hAnsi="Garamond" w:cs="Times New Roman"/>
          <w:sz w:val="24"/>
          <w:szCs w:val="24"/>
          <w:lang w:val="en-US"/>
        </w:rPr>
        <w:footnoteReference w:id="136"/>
      </w:r>
      <w:r w:rsidRPr="00D56AF5">
        <w:rPr>
          <w:rFonts w:ascii="Garamond" w:hAnsi="Garamond" w:cs="Times New Roman"/>
          <w:sz w:val="24"/>
          <w:szCs w:val="24"/>
          <w:lang w:val="en-US"/>
        </w:rPr>
        <w:t xml:space="preserve"> It thus presumes the existence of a single political community that possesses and exercises sovereignty through a government which acts as its agent.</w:t>
      </w:r>
      <w:r w:rsidRPr="00D56AF5">
        <w:rPr>
          <w:rStyle w:val="FootnoteReference"/>
          <w:rFonts w:ascii="Garamond" w:hAnsi="Garamond" w:cs="Times New Roman"/>
          <w:sz w:val="24"/>
          <w:szCs w:val="24"/>
          <w:lang w:val="en-US"/>
        </w:rPr>
        <w:footnoteReference w:id="137"/>
      </w:r>
      <w:r w:rsidRPr="00D56AF5">
        <w:rPr>
          <w:rFonts w:ascii="Garamond" w:hAnsi="Garamond" w:cs="Times New Roman"/>
          <w:sz w:val="24"/>
          <w:szCs w:val="24"/>
          <w:lang w:val="en-US"/>
        </w:rPr>
        <w:t xml:space="preserve"> </w:t>
      </w:r>
    </w:p>
    <w:p w14:paraId="1A71F18F" w14:textId="70B3D9AD"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cs="Times New Roman"/>
          <w:sz w:val="24"/>
          <w:szCs w:val="24"/>
          <w:lang w:val="en-US"/>
        </w:rPr>
        <w:lastRenderedPageBreak/>
        <w:t xml:space="preserve">International law </w:t>
      </w:r>
      <w:r w:rsidR="008601C5">
        <w:rPr>
          <w:rFonts w:ascii="Garamond" w:hAnsi="Garamond" w:cs="Times New Roman"/>
          <w:sz w:val="24"/>
          <w:szCs w:val="24"/>
          <w:lang w:val="en-US"/>
        </w:rPr>
        <w:t xml:space="preserve">also </w:t>
      </w:r>
      <w:r w:rsidRPr="00D56AF5">
        <w:rPr>
          <w:rFonts w:ascii="Garamond" w:hAnsi="Garamond" w:cs="Times New Roman"/>
          <w:sz w:val="24"/>
          <w:szCs w:val="24"/>
          <w:lang w:val="en-US"/>
        </w:rPr>
        <w:t xml:space="preserve">fosters a </w:t>
      </w:r>
      <w:r w:rsidRPr="00D56AF5">
        <w:rPr>
          <w:rFonts w:ascii="Garamond" w:hAnsi="Garamond"/>
          <w:sz w:val="24"/>
          <w:szCs w:val="24"/>
          <w:lang w:val="en-US"/>
        </w:rPr>
        <w:t>‘human rights-based conception of popular sovereignty’.</w:t>
      </w:r>
      <w:r w:rsidRPr="00D56AF5">
        <w:rPr>
          <w:rStyle w:val="FootnoteReference"/>
          <w:rFonts w:ascii="Garamond" w:hAnsi="Garamond"/>
          <w:sz w:val="24"/>
          <w:szCs w:val="24"/>
          <w:lang w:val="en-US"/>
        </w:rPr>
        <w:footnoteReference w:id="138"/>
      </w:r>
      <w:r w:rsidRPr="00D56AF5">
        <w:rPr>
          <w:rFonts w:ascii="Garamond" w:hAnsi="Garamond"/>
          <w:sz w:val="24"/>
          <w:szCs w:val="24"/>
          <w:lang w:val="en-US"/>
        </w:rPr>
        <w:t xml:space="preserve"> One where the legitimation of the government cannot be satisfied by the formalistic consent of the populace or by rule of the </w:t>
      </w:r>
      <w:proofErr w:type="gramStart"/>
      <w:r w:rsidRPr="00D56AF5">
        <w:rPr>
          <w:rFonts w:ascii="Garamond" w:hAnsi="Garamond"/>
          <w:sz w:val="24"/>
          <w:szCs w:val="24"/>
          <w:lang w:val="en-US"/>
        </w:rPr>
        <w:t>majority, but</w:t>
      </w:r>
      <w:proofErr w:type="gramEnd"/>
      <w:r w:rsidRPr="00D56AF5">
        <w:rPr>
          <w:rFonts w:ascii="Garamond" w:hAnsi="Garamond"/>
          <w:sz w:val="24"/>
          <w:szCs w:val="24"/>
          <w:lang w:val="en-US"/>
        </w:rPr>
        <w:t xml:space="preserve"> is rather contingent on the capacity and willingness of the government to discharge a </w:t>
      </w:r>
      <w:r w:rsidRPr="00D56AF5">
        <w:rPr>
          <w:rFonts w:ascii="Garamond" w:hAnsi="Garamond"/>
          <w:i/>
          <w:iCs/>
          <w:sz w:val="24"/>
          <w:szCs w:val="24"/>
          <w:lang w:val="en-US"/>
        </w:rPr>
        <w:t>responsibility</w:t>
      </w:r>
      <w:r w:rsidRPr="00D56AF5">
        <w:rPr>
          <w:rFonts w:ascii="Garamond" w:hAnsi="Garamond"/>
          <w:sz w:val="24"/>
          <w:szCs w:val="24"/>
          <w:lang w:val="en-US"/>
        </w:rPr>
        <w:t xml:space="preserve"> towards every member of the community – to uphold the good and promote human rights. To promote popular sovereignty is to promote institutional structures that facilitate the pursuit of the good of the community, however they may decide to do that. Thus, popular sovereignty </w:t>
      </w:r>
      <w:r w:rsidR="005E1F33" w:rsidRPr="00D56AF5">
        <w:rPr>
          <w:rFonts w:ascii="Garamond" w:hAnsi="Garamond"/>
          <w:sz w:val="24"/>
          <w:szCs w:val="24"/>
          <w:lang w:val="en-US"/>
        </w:rPr>
        <w:t>permits</w:t>
      </w:r>
      <w:r w:rsidRPr="00D56AF5">
        <w:rPr>
          <w:rFonts w:ascii="Garamond" w:hAnsi="Garamond"/>
          <w:sz w:val="24"/>
          <w:szCs w:val="24"/>
          <w:lang w:val="en-US"/>
        </w:rPr>
        <w:t xml:space="preserve"> communities a substantial measure of freedom in deciding how to pursue </w:t>
      </w:r>
      <w:r w:rsidR="00A0364E" w:rsidRPr="00D56AF5">
        <w:rPr>
          <w:rFonts w:ascii="Garamond" w:hAnsi="Garamond"/>
          <w:sz w:val="24"/>
          <w:szCs w:val="24"/>
          <w:lang w:val="en-US"/>
        </w:rPr>
        <w:t>the common good</w:t>
      </w:r>
      <w:r w:rsidRPr="00D56AF5">
        <w:rPr>
          <w:rFonts w:ascii="Garamond" w:hAnsi="Garamond"/>
          <w:sz w:val="24"/>
          <w:szCs w:val="24"/>
          <w:lang w:val="en-US"/>
        </w:rPr>
        <w:t>.</w:t>
      </w:r>
    </w:p>
    <w:p w14:paraId="204CBD0A" w14:textId="27E41866"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cs="Times New Roman"/>
          <w:sz w:val="24"/>
          <w:szCs w:val="24"/>
          <w:lang w:val="en-US"/>
        </w:rPr>
        <w:t>As a principle of legitimacy, popular sovereignty is relevant for the international recognition of both states and specific governmental regimes.</w:t>
      </w:r>
      <w:r w:rsidRPr="00D56AF5">
        <w:rPr>
          <w:rStyle w:val="FootnoteReference"/>
          <w:rFonts w:ascii="Garamond" w:hAnsi="Garamond" w:cs="Times New Roman"/>
          <w:sz w:val="24"/>
          <w:szCs w:val="24"/>
          <w:lang w:val="en-US"/>
        </w:rPr>
        <w:footnoteReference w:id="139"/>
      </w:r>
      <w:r w:rsidRPr="00D56AF5">
        <w:rPr>
          <w:rFonts w:ascii="Garamond" w:hAnsi="Garamond" w:cs="Times New Roman"/>
          <w:sz w:val="24"/>
          <w:szCs w:val="24"/>
          <w:lang w:val="en-US"/>
        </w:rPr>
        <w:t xml:space="preserve"> In international law, it is anchored in </w:t>
      </w:r>
      <w:r w:rsidRPr="00D56AF5">
        <w:rPr>
          <w:rFonts w:ascii="Garamond" w:hAnsi="Garamond"/>
          <w:sz w:val="24"/>
          <w:szCs w:val="24"/>
          <w:lang w:val="en-US"/>
        </w:rPr>
        <w:t>two primary senses. In an external sense, it is instantiated in the sovereign equality of states and the rule of non-intervention.</w:t>
      </w:r>
      <w:r w:rsidRPr="00D56AF5">
        <w:rPr>
          <w:rStyle w:val="FootnoteReference"/>
          <w:rFonts w:ascii="Garamond" w:hAnsi="Garamond"/>
          <w:sz w:val="24"/>
          <w:szCs w:val="24"/>
          <w:lang w:val="en-US"/>
        </w:rPr>
        <w:footnoteReference w:id="140"/>
      </w:r>
      <w:r w:rsidRPr="00D56AF5">
        <w:rPr>
          <w:rFonts w:ascii="Garamond" w:hAnsi="Garamond"/>
          <w:sz w:val="24"/>
          <w:szCs w:val="24"/>
          <w:lang w:val="en-US"/>
        </w:rPr>
        <w:t xml:space="preserve"> In an internal sense, it has a foothold in the UDHR’s almost aphoristic refrain that “the will of the people shall be the basis of the authority of government”.</w:t>
      </w:r>
      <w:r w:rsidRPr="00D56AF5">
        <w:rPr>
          <w:rStyle w:val="FootnoteReference"/>
          <w:rFonts w:ascii="Garamond" w:hAnsi="Garamond"/>
          <w:sz w:val="24"/>
          <w:szCs w:val="24"/>
          <w:lang w:val="en-US"/>
        </w:rPr>
        <w:footnoteReference w:id="141"/>
      </w:r>
      <w:r w:rsidRPr="00D56AF5">
        <w:rPr>
          <w:rFonts w:ascii="Garamond" w:hAnsi="Garamond"/>
          <w:sz w:val="24"/>
          <w:szCs w:val="24"/>
          <w:lang w:val="en-US"/>
        </w:rPr>
        <w:t xml:space="preserve"> These two related meanings have driven the development of international legal doctrines that seek to respect the outcome of internal political processes where they reflect popular will. </w:t>
      </w:r>
    </w:p>
    <w:p w14:paraId="3AFCE40D" w14:textId="62EEACFE"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In relation to the sovereign state, popular will is discerned through the shorthand of an ‘input’ and ‘output’ legitimacy,</w:t>
      </w:r>
      <w:r w:rsidRPr="00D56AF5">
        <w:rPr>
          <w:rStyle w:val="FootnoteReference"/>
          <w:rFonts w:ascii="Garamond" w:hAnsi="Garamond"/>
          <w:sz w:val="24"/>
          <w:szCs w:val="24"/>
          <w:lang w:val="en-US"/>
        </w:rPr>
        <w:footnoteReference w:id="142"/>
      </w:r>
      <w:r w:rsidRPr="00D56AF5">
        <w:rPr>
          <w:rFonts w:ascii="Garamond" w:hAnsi="Garamond"/>
          <w:sz w:val="24"/>
          <w:szCs w:val="24"/>
          <w:lang w:val="en-US"/>
        </w:rPr>
        <w:t xml:space="preserve"> requiring representative governments, but not necessarily democracy,</w:t>
      </w:r>
      <w:r w:rsidRPr="00D56AF5">
        <w:rPr>
          <w:rStyle w:val="FootnoteReference"/>
          <w:rFonts w:ascii="Garamond" w:hAnsi="Garamond"/>
          <w:sz w:val="24"/>
          <w:szCs w:val="24"/>
          <w:lang w:val="en-US"/>
        </w:rPr>
        <w:footnoteReference w:id="143"/>
      </w:r>
      <w:r w:rsidRPr="00D56AF5">
        <w:rPr>
          <w:rFonts w:ascii="Garamond" w:hAnsi="Garamond"/>
          <w:sz w:val="24"/>
          <w:szCs w:val="24"/>
          <w:lang w:val="en-US"/>
        </w:rPr>
        <w:t xml:space="preserve"> and </w:t>
      </w:r>
      <w:r w:rsidR="002F0DFF" w:rsidRPr="00D56AF5">
        <w:rPr>
          <w:rFonts w:ascii="Garamond" w:hAnsi="Garamond"/>
          <w:sz w:val="24"/>
          <w:szCs w:val="24"/>
          <w:lang w:val="en-US"/>
        </w:rPr>
        <w:lastRenderedPageBreak/>
        <w:t>facilitating</w:t>
      </w:r>
      <w:r w:rsidRPr="00D56AF5">
        <w:rPr>
          <w:rFonts w:ascii="Garamond" w:hAnsi="Garamond"/>
          <w:sz w:val="24"/>
          <w:szCs w:val="24"/>
          <w:lang w:val="en-US"/>
        </w:rPr>
        <w:t xml:space="preserve"> internal ‘pluralism’, while </w:t>
      </w:r>
      <w:r w:rsidR="009E69D3" w:rsidRPr="00D56AF5">
        <w:rPr>
          <w:rFonts w:ascii="Garamond" w:hAnsi="Garamond"/>
          <w:sz w:val="24"/>
          <w:szCs w:val="24"/>
          <w:lang w:val="en-US"/>
        </w:rPr>
        <w:t>allowing for</w:t>
      </w:r>
      <w:r w:rsidRPr="00D56AF5">
        <w:rPr>
          <w:rFonts w:ascii="Garamond" w:hAnsi="Garamond"/>
          <w:sz w:val="24"/>
          <w:szCs w:val="24"/>
          <w:lang w:val="en-US"/>
        </w:rPr>
        <w:t xml:space="preserve"> </w:t>
      </w:r>
      <w:r w:rsidR="00A65175">
        <w:rPr>
          <w:rFonts w:ascii="Garamond" w:hAnsi="Garamond"/>
          <w:sz w:val="24"/>
          <w:szCs w:val="24"/>
          <w:lang w:val="en-US"/>
        </w:rPr>
        <w:t xml:space="preserve">a limited range of </w:t>
      </w:r>
      <w:r w:rsidRPr="00D56AF5">
        <w:rPr>
          <w:rFonts w:ascii="Garamond" w:hAnsi="Garamond"/>
          <w:sz w:val="24"/>
          <w:szCs w:val="24"/>
          <w:lang w:val="en-US"/>
        </w:rPr>
        <w:t xml:space="preserve">decisions to be made outside the confines of a </w:t>
      </w:r>
      <w:r w:rsidR="0077719D">
        <w:rPr>
          <w:rFonts w:ascii="Garamond" w:hAnsi="Garamond"/>
          <w:sz w:val="24"/>
          <w:szCs w:val="24"/>
          <w:lang w:val="en-US"/>
        </w:rPr>
        <w:t>state</w:t>
      </w:r>
      <w:r w:rsidRPr="00D56AF5">
        <w:rPr>
          <w:rStyle w:val="FootnoteReference"/>
          <w:rFonts w:ascii="Garamond" w:hAnsi="Garamond"/>
          <w:sz w:val="24"/>
          <w:szCs w:val="24"/>
          <w:lang w:val="en-US"/>
        </w:rPr>
        <w:footnoteReference w:id="144"/>
      </w:r>
      <w:r w:rsidRPr="00D56AF5">
        <w:rPr>
          <w:rFonts w:ascii="Garamond" w:hAnsi="Garamond"/>
          <w:sz w:val="24"/>
          <w:szCs w:val="24"/>
          <w:lang w:val="en-US"/>
        </w:rPr>
        <w:t xml:space="preserve"> </w:t>
      </w:r>
      <w:r w:rsidR="00A65175">
        <w:rPr>
          <w:rFonts w:ascii="Garamond" w:hAnsi="Garamond"/>
          <w:sz w:val="24"/>
          <w:szCs w:val="24"/>
          <w:lang w:val="en-US"/>
        </w:rPr>
        <w:t xml:space="preserve">when it is necessary to </w:t>
      </w:r>
      <w:r w:rsidRPr="00D56AF5">
        <w:rPr>
          <w:rFonts w:ascii="Garamond" w:hAnsi="Garamond"/>
          <w:sz w:val="24"/>
          <w:szCs w:val="24"/>
          <w:lang w:val="en-US"/>
        </w:rPr>
        <w:t>secure</w:t>
      </w:r>
      <w:r w:rsidR="00A65175">
        <w:rPr>
          <w:rFonts w:ascii="Garamond" w:hAnsi="Garamond"/>
          <w:sz w:val="24"/>
          <w:szCs w:val="24"/>
          <w:lang w:val="en-US"/>
        </w:rPr>
        <w:t xml:space="preserve"> </w:t>
      </w:r>
      <w:r w:rsidRPr="00D56AF5">
        <w:rPr>
          <w:rFonts w:ascii="Garamond" w:hAnsi="Garamond"/>
          <w:sz w:val="24"/>
          <w:szCs w:val="24"/>
          <w:lang w:val="en-US"/>
        </w:rPr>
        <w:t xml:space="preserve">the well-being of the people. </w:t>
      </w:r>
    </w:p>
    <w:p w14:paraId="12C5A223" w14:textId="77777777"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This reveals a ‘qualitative difference’</w:t>
      </w:r>
      <w:r w:rsidRPr="00D56AF5">
        <w:rPr>
          <w:rStyle w:val="FootnoteReference"/>
          <w:rFonts w:ascii="Garamond" w:hAnsi="Garamond"/>
          <w:sz w:val="24"/>
          <w:szCs w:val="24"/>
          <w:lang w:val="en-US"/>
        </w:rPr>
        <w:footnoteReference w:id="145"/>
      </w:r>
      <w:r w:rsidRPr="00D56AF5">
        <w:rPr>
          <w:rFonts w:ascii="Garamond" w:hAnsi="Garamond"/>
          <w:sz w:val="24"/>
          <w:szCs w:val="24"/>
          <w:lang w:val="en-US"/>
        </w:rPr>
        <w:t xml:space="preserve"> between the principles of self-determination and popular sovereignty. Self-determination is concerned with allocating a right to determine one’s destiny in and through a distinct community.</w:t>
      </w:r>
      <w:r w:rsidRPr="00D56AF5">
        <w:rPr>
          <w:rStyle w:val="FootnoteReference"/>
          <w:rFonts w:ascii="Garamond" w:hAnsi="Garamond"/>
          <w:sz w:val="24"/>
          <w:szCs w:val="24"/>
          <w:lang w:val="en-US"/>
        </w:rPr>
        <w:footnoteReference w:id="146"/>
      </w:r>
      <w:r w:rsidRPr="00D56AF5">
        <w:rPr>
          <w:rFonts w:ascii="Garamond" w:hAnsi="Garamond"/>
          <w:sz w:val="24"/>
          <w:szCs w:val="24"/>
          <w:lang w:val="en-US"/>
        </w:rPr>
        <w:t xml:space="preserve"> Popular sovereignty is a principle that (de)legitimates governments </w:t>
      </w:r>
      <w:proofErr w:type="gramStart"/>
      <w:r w:rsidRPr="00D56AF5">
        <w:rPr>
          <w:rFonts w:ascii="Garamond" w:hAnsi="Garamond"/>
          <w:sz w:val="24"/>
          <w:szCs w:val="24"/>
          <w:lang w:val="en-US"/>
        </w:rPr>
        <w:t>on the basis of</w:t>
      </w:r>
      <w:proofErr w:type="gramEnd"/>
      <w:r w:rsidRPr="00D56AF5">
        <w:rPr>
          <w:rFonts w:ascii="Garamond" w:hAnsi="Garamond"/>
          <w:sz w:val="24"/>
          <w:szCs w:val="24"/>
          <w:lang w:val="en-US"/>
        </w:rPr>
        <w:t xml:space="preserve"> their ability and willingness to secure the good of their populations. Self-determination is often captured as a right </w:t>
      </w:r>
      <w:r w:rsidRPr="00D56AF5">
        <w:rPr>
          <w:rFonts w:ascii="Garamond" w:hAnsi="Garamond"/>
          <w:i/>
          <w:iCs/>
          <w:sz w:val="24"/>
          <w:szCs w:val="24"/>
          <w:lang w:val="en-US"/>
        </w:rPr>
        <w:t>against</w:t>
      </w:r>
      <w:r w:rsidRPr="00D56AF5">
        <w:rPr>
          <w:rFonts w:ascii="Garamond" w:hAnsi="Garamond"/>
          <w:sz w:val="24"/>
          <w:szCs w:val="24"/>
          <w:lang w:val="en-US"/>
        </w:rPr>
        <w:t xml:space="preserve"> an existing regime, while popular sovereignty is the legitimation </w:t>
      </w:r>
      <w:r w:rsidRPr="00D56AF5">
        <w:rPr>
          <w:rFonts w:ascii="Garamond" w:hAnsi="Garamond"/>
          <w:i/>
          <w:iCs/>
          <w:sz w:val="24"/>
          <w:szCs w:val="24"/>
          <w:lang w:val="en-US"/>
        </w:rPr>
        <w:t xml:space="preserve">of </w:t>
      </w:r>
      <w:r w:rsidRPr="00D56AF5">
        <w:rPr>
          <w:rFonts w:ascii="Garamond" w:hAnsi="Garamond"/>
          <w:sz w:val="24"/>
          <w:szCs w:val="24"/>
          <w:lang w:val="en-US"/>
        </w:rPr>
        <w:t xml:space="preserve">an existing regime. These two principles also place value in different places – self-determination focuses on the value of decision-making in preserving valuable forms of community life, and popular sovereignty assesses the quality of governmental institutions </w:t>
      </w:r>
      <w:proofErr w:type="gramStart"/>
      <w:r w:rsidRPr="00D56AF5">
        <w:rPr>
          <w:rFonts w:ascii="Garamond" w:hAnsi="Garamond"/>
          <w:sz w:val="24"/>
          <w:szCs w:val="24"/>
          <w:lang w:val="en-US"/>
        </w:rPr>
        <w:t>on the basis of</w:t>
      </w:r>
      <w:proofErr w:type="gramEnd"/>
      <w:r w:rsidRPr="00D56AF5">
        <w:rPr>
          <w:rFonts w:ascii="Garamond" w:hAnsi="Garamond"/>
          <w:sz w:val="24"/>
          <w:szCs w:val="24"/>
          <w:lang w:val="en-US"/>
        </w:rPr>
        <w:t xml:space="preserve"> their ability to facilitate the good of the people. Both principles are valence neutral to form of government but are circumscribed by the limits of morality.</w:t>
      </w:r>
    </w:p>
    <w:p w14:paraId="1DDD5B28" w14:textId="60DD573C" w:rsidR="00346FBB" w:rsidRPr="00346FBB" w:rsidRDefault="00A262A5" w:rsidP="00B679CD">
      <w:pPr>
        <w:pStyle w:val="Heading3"/>
        <w:numPr>
          <w:ilvl w:val="2"/>
          <w:numId w:val="35"/>
        </w:numPr>
        <w:rPr>
          <w:lang w:val="en-US"/>
        </w:rPr>
      </w:pPr>
      <w:bookmarkStart w:id="21" w:name="_Toc191740734"/>
      <w:r w:rsidRPr="00346FBB">
        <w:rPr>
          <w:lang w:val="en-US"/>
        </w:rPr>
        <w:t>Subsidiarity</w:t>
      </w:r>
      <w:bookmarkEnd w:id="21"/>
    </w:p>
    <w:p w14:paraId="42E9E345" w14:textId="729D76A4" w:rsidR="00A262A5" w:rsidRPr="00346FBB" w:rsidRDefault="00A262A5" w:rsidP="001340AF">
      <w:pPr>
        <w:spacing w:after="120" w:line="480" w:lineRule="auto"/>
        <w:jc w:val="both"/>
        <w:rPr>
          <w:rFonts w:ascii="Garamond" w:hAnsi="Garamond"/>
          <w:sz w:val="24"/>
          <w:szCs w:val="24"/>
          <w:lang w:val="en-US"/>
        </w:rPr>
      </w:pPr>
      <w:r w:rsidRPr="00346FBB">
        <w:rPr>
          <w:rFonts w:ascii="Garamond" w:hAnsi="Garamond"/>
          <w:sz w:val="24"/>
          <w:szCs w:val="24"/>
          <w:lang w:val="en-US"/>
        </w:rPr>
        <w:t xml:space="preserve">Our final framework value supplements the two previous ones by addressing the separate questions of who should make decisions, and who should enforce those decisions. In the context of states, subsidiarity is premised on two considerations: (1) that other states and non-state organizations are usually not as good as the state in deciding the values and purposes it should pursue; (2) that other states and non-state organizations are not as effective as the state in </w:t>
      </w:r>
      <w:r w:rsidR="008F3C8F" w:rsidRPr="00346FBB">
        <w:rPr>
          <w:rFonts w:ascii="Garamond" w:hAnsi="Garamond"/>
          <w:sz w:val="24"/>
          <w:szCs w:val="24"/>
          <w:lang w:val="en-US"/>
        </w:rPr>
        <w:t xml:space="preserve">rectifying injustices and </w:t>
      </w:r>
      <w:r w:rsidRPr="00346FBB">
        <w:rPr>
          <w:rFonts w:ascii="Garamond" w:hAnsi="Garamond"/>
          <w:sz w:val="24"/>
          <w:szCs w:val="24"/>
          <w:lang w:val="en-US"/>
        </w:rPr>
        <w:t>securing peace, order and good government.</w:t>
      </w:r>
      <w:r w:rsidRPr="00D56AF5">
        <w:rPr>
          <w:rStyle w:val="FootnoteReference"/>
          <w:rFonts w:ascii="Garamond" w:hAnsi="Garamond"/>
          <w:sz w:val="24"/>
          <w:szCs w:val="24"/>
          <w:lang w:val="en-US"/>
        </w:rPr>
        <w:footnoteReference w:id="147"/>
      </w:r>
      <w:r w:rsidRPr="00346FBB">
        <w:rPr>
          <w:rFonts w:ascii="Garamond" w:hAnsi="Garamond"/>
          <w:sz w:val="24"/>
          <w:szCs w:val="24"/>
          <w:lang w:val="en-US"/>
        </w:rPr>
        <w:t xml:space="preserve"> This makes the principle of subsidiarity, a ‘more radically important value in international law’ than in domestic law.</w:t>
      </w:r>
      <w:r w:rsidRPr="00D56AF5">
        <w:rPr>
          <w:rStyle w:val="FootnoteReference"/>
          <w:rFonts w:ascii="Garamond" w:hAnsi="Garamond"/>
          <w:sz w:val="24"/>
          <w:szCs w:val="24"/>
          <w:lang w:val="en-US"/>
        </w:rPr>
        <w:footnoteReference w:id="148"/>
      </w:r>
      <w:r w:rsidRPr="00346FBB">
        <w:rPr>
          <w:rFonts w:ascii="Garamond" w:hAnsi="Garamond"/>
          <w:sz w:val="24"/>
          <w:szCs w:val="24"/>
          <w:lang w:val="en-US"/>
        </w:rPr>
        <w:t xml:space="preserve"> </w:t>
      </w:r>
    </w:p>
    <w:p w14:paraId="21C09DA4" w14:textId="02EF721E" w:rsidR="00A262A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lastRenderedPageBreak/>
        <w:t xml:space="preserve">Subsidiarity manifests in both substantive and procedural </w:t>
      </w:r>
      <w:proofErr w:type="gramStart"/>
      <w:r w:rsidRPr="00D56AF5">
        <w:rPr>
          <w:rFonts w:ascii="Garamond" w:hAnsi="Garamond"/>
          <w:sz w:val="24"/>
          <w:szCs w:val="24"/>
          <w:lang w:val="en-US"/>
        </w:rPr>
        <w:t>principles, and</w:t>
      </w:r>
      <w:proofErr w:type="gramEnd"/>
      <w:r w:rsidRPr="00D56AF5">
        <w:rPr>
          <w:rFonts w:ascii="Garamond" w:hAnsi="Garamond"/>
          <w:sz w:val="24"/>
          <w:szCs w:val="24"/>
          <w:lang w:val="en-US"/>
        </w:rPr>
        <w:t xml:space="preserve"> is concerned with justifications for action at a specific level or institution, whether based on efficiency, efficacy in obtaining objectives</w:t>
      </w:r>
      <w:r w:rsidR="00F73B16">
        <w:rPr>
          <w:rFonts w:ascii="Garamond" w:hAnsi="Garamond"/>
          <w:sz w:val="24"/>
          <w:szCs w:val="24"/>
          <w:lang w:val="en-US"/>
        </w:rPr>
        <w:t>,</w:t>
      </w:r>
      <w:r w:rsidRPr="00D56AF5">
        <w:rPr>
          <w:rFonts w:ascii="Garamond" w:hAnsi="Garamond"/>
          <w:sz w:val="24"/>
          <w:szCs w:val="24"/>
          <w:lang w:val="en-US"/>
        </w:rPr>
        <w:t xml:space="preserve"> or other values.</w:t>
      </w:r>
      <w:r w:rsidRPr="00D56AF5">
        <w:rPr>
          <w:rStyle w:val="FootnoteReference"/>
          <w:rFonts w:ascii="Garamond" w:hAnsi="Garamond"/>
          <w:sz w:val="24"/>
          <w:szCs w:val="24"/>
          <w:lang w:val="en-US"/>
        </w:rPr>
        <w:footnoteReference w:id="149"/>
      </w:r>
      <w:r w:rsidRPr="00D56AF5">
        <w:rPr>
          <w:rFonts w:ascii="Garamond" w:hAnsi="Garamond"/>
          <w:sz w:val="24"/>
          <w:szCs w:val="24"/>
          <w:lang w:val="en-US"/>
        </w:rPr>
        <w:t xml:space="preserve"> This does not mean that subsidiarity is a consequentialist principle, concerned with outcomes alone. Subsidiarity is also linked to human dignity</w:t>
      </w:r>
      <w:r w:rsidR="00805C0E" w:rsidRPr="00D56AF5">
        <w:rPr>
          <w:rFonts w:ascii="Garamond" w:hAnsi="Garamond"/>
          <w:sz w:val="24"/>
          <w:szCs w:val="24"/>
          <w:lang w:val="en-US"/>
        </w:rPr>
        <w:t>, in</w:t>
      </w:r>
      <w:r w:rsidRPr="00D56AF5">
        <w:rPr>
          <w:rFonts w:ascii="Garamond" w:hAnsi="Garamond"/>
          <w:sz w:val="24"/>
          <w:szCs w:val="24"/>
          <w:lang w:val="en-US"/>
        </w:rPr>
        <w:t xml:space="preserve"> allowing individuals to freely form social associations within a hierarchy, where each institution</w:t>
      </w:r>
      <w:r w:rsidR="008601C5">
        <w:rPr>
          <w:rFonts w:ascii="Garamond" w:hAnsi="Garamond"/>
          <w:sz w:val="24"/>
          <w:szCs w:val="24"/>
          <w:lang w:val="en-US"/>
        </w:rPr>
        <w:t xml:space="preserve"> or </w:t>
      </w:r>
      <w:r w:rsidRPr="00D56AF5">
        <w:rPr>
          <w:rFonts w:ascii="Garamond" w:hAnsi="Garamond"/>
          <w:sz w:val="24"/>
          <w:szCs w:val="24"/>
          <w:lang w:val="en-US"/>
        </w:rPr>
        <w:t>association performs tasks appropriate to its level.</w:t>
      </w:r>
      <w:r w:rsidRPr="00D56AF5">
        <w:rPr>
          <w:rStyle w:val="FootnoteReference"/>
          <w:rFonts w:ascii="Garamond" w:hAnsi="Garamond"/>
          <w:sz w:val="24"/>
          <w:szCs w:val="24"/>
          <w:lang w:val="en-US"/>
        </w:rPr>
        <w:footnoteReference w:id="150"/>
      </w:r>
      <w:r w:rsidRPr="00D56AF5">
        <w:rPr>
          <w:rFonts w:ascii="Garamond" w:hAnsi="Garamond"/>
          <w:sz w:val="24"/>
          <w:szCs w:val="24"/>
          <w:lang w:val="en-US"/>
        </w:rPr>
        <w:t xml:space="preserve"> It recognizes that “</w:t>
      </w:r>
      <w:r w:rsidRPr="00D56AF5">
        <w:rPr>
          <w:rFonts w:ascii="Garamond" w:hAnsi="Garamond"/>
          <w:i/>
          <w:iCs/>
          <w:sz w:val="24"/>
          <w:szCs w:val="24"/>
          <w:lang w:val="en-US"/>
        </w:rPr>
        <w:t>the value of the individual human person is ontologically and morally prior to the state or other social groupings</w:t>
      </w:r>
      <w:r w:rsidRPr="00D56AF5">
        <w:rPr>
          <w:rFonts w:ascii="Garamond" w:hAnsi="Garamond"/>
          <w:sz w:val="24"/>
          <w:szCs w:val="24"/>
          <w:lang w:val="en-US"/>
        </w:rPr>
        <w:t>” and as a result, all forms of association, including the community of states, need to be oriented towards the good of humans and should help each other achieve their purposes.</w:t>
      </w:r>
      <w:r w:rsidRPr="00D56AF5">
        <w:rPr>
          <w:rStyle w:val="FootnoteReference"/>
          <w:rFonts w:ascii="Garamond" w:hAnsi="Garamond"/>
          <w:sz w:val="24"/>
          <w:szCs w:val="24"/>
          <w:lang w:val="en-US"/>
        </w:rPr>
        <w:footnoteReference w:id="151"/>
      </w:r>
      <w:r w:rsidRPr="00D56AF5">
        <w:rPr>
          <w:rFonts w:ascii="Garamond" w:hAnsi="Garamond"/>
          <w:sz w:val="24"/>
          <w:szCs w:val="24"/>
          <w:lang w:val="en-US"/>
        </w:rPr>
        <w:t xml:space="preserve"> Subsidiarity then entails both negative </w:t>
      </w:r>
      <w:r w:rsidR="00EB7630">
        <w:rPr>
          <w:rFonts w:ascii="Garamond" w:hAnsi="Garamond"/>
          <w:sz w:val="24"/>
          <w:szCs w:val="24"/>
          <w:lang w:val="en-US"/>
        </w:rPr>
        <w:t xml:space="preserve">and </w:t>
      </w:r>
      <w:r w:rsidR="00EB7630" w:rsidRPr="00D56AF5">
        <w:rPr>
          <w:rFonts w:ascii="Garamond" w:hAnsi="Garamond"/>
          <w:sz w:val="24"/>
          <w:szCs w:val="24"/>
          <w:lang w:val="en-US"/>
        </w:rPr>
        <w:t xml:space="preserve">positive </w:t>
      </w:r>
      <w:r w:rsidRPr="00D56AF5">
        <w:rPr>
          <w:rFonts w:ascii="Garamond" w:hAnsi="Garamond"/>
          <w:sz w:val="24"/>
          <w:szCs w:val="24"/>
          <w:lang w:val="en-US"/>
        </w:rPr>
        <w:t>dimensions. The negative dimension requires that higher associations refrain from interfering in the functions of the lower associations without good cause, and the positive dimension justifies such intervention where the lower associations cannot achieve their ends on their own.</w:t>
      </w:r>
      <w:r w:rsidRPr="00D56AF5">
        <w:rPr>
          <w:rStyle w:val="FootnoteReference"/>
          <w:rFonts w:ascii="Garamond" w:hAnsi="Garamond"/>
          <w:sz w:val="24"/>
          <w:szCs w:val="24"/>
          <w:lang w:val="en-US"/>
        </w:rPr>
        <w:footnoteReference w:id="152"/>
      </w:r>
      <w:r w:rsidRPr="00D56AF5">
        <w:rPr>
          <w:rFonts w:ascii="Garamond" w:hAnsi="Garamond"/>
          <w:sz w:val="24"/>
          <w:szCs w:val="24"/>
          <w:lang w:val="en-US"/>
        </w:rPr>
        <w:t xml:space="preserve"> In international law, subsidiarity is implicit in the norm of non-intervention, and the scheme of the UN Charter.</w:t>
      </w:r>
      <w:r w:rsidRPr="00D56AF5">
        <w:rPr>
          <w:rStyle w:val="FootnoteReference"/>
          <w:rFonts w:ascii="Garamond" w:hAnsi="Garamond"/>
          <w:sz w:val="24"/>
          <w:szCs w:val="24"/>
          <w:lang w:val="en-US"/>
        </w:rPr>
        <w:footnoteReference w:id="153"/>
      </w:r>
      <w:r w:rsidRPr="00D56AF5">
        <w:rPr>
          <w:rFonts w:ascii="Garamond" w:hAnsi="Garamond"/>
          <w:sz w:val="24"/>
          <w:szCs w:val="24"/>
          <w:lang w:val="en-US"/>
        </w:rPr>
        <w:t xml:space="preserve">  </w:t>
      </w:r>
    </w:p>
    <w:p w14:paraId="0C6E258D" w14:textId="77777777" w:rsidR="006528C1" w:rsidRPr="00D56AF5" w:rsidRDefault="006528C1" w:rsidP="001340AF">
      <w:pPr>
        <w:spacing w:after="120" w:line="480" w:lineRule="auto"/>
        <w:jc w:val="both"/>
        <w:rPr>
          <w:rFonts w:ascii="Garamond" w:hAnsi="Garamond"/>
          <w:sz w:val="24"/>
          <w:szCs w:val="24"/>
          <w:lang w:val="en-US"/>
        </w:rPr>
      </w:pPr>
    </w:p>
    <w:p w14:paraId="5C77FF02" w14:textId="1BC7486B" w:rsidR="00A262A5" w:rsidRPr="00D56AF5" w:rsidRDefault="00A262A5" w:rsidP="001340AF">
      <w:pPr>
        <w:pStyle w:val="Heading2"/>
        <w:numPr>
          <w:ilvl w:val="1"/>
          <w:numId w:val="35"/>
        </w:numPr>
        <w:spacing w:line="480" w:lineRule="auto"/>
        <w:rPr>
          <w:szCs w:val="24"/>
          <w:lang w:val="en-US"/>
        </w:rPr>
      </w:pPr>
      <w:bookmarkStart w:id="22" w:name="_Toc169217168"/>
      <w:bookmarkStart w:id="23" w:name="_Toc191740735"/>
      <w:r w:rsidRPr="00D56AF5">
        <w:rPr>
          <w:szCs w:val="24"/>
          <w:lang w:val="en-US"/>
        </w:rPr>
        <w:t>Intervention</w:t>
      </w:r>
      <w:r w:rsidR="00F55B59" w:rsidRPr="00D56AF5">
        <w:rPr>
          <w:szCs w:val="24"/>
          <w:lang w:val="en-US"/>
        </w:rPr>
        <w:t>s</w:t>
      </w:r>
      <w:r w:rsidR="001B5AC6" w:rsidRPr="00D56AF5">
        <w:rPr>
          <w:szCs w:val="24"/>
          <w:lang w:val="en-US"/>
        </w:rPr>
        <w:t xml:space="preserve"> by</w:t>
      </w:r>
      <w:r w:rsidRPr="00D56AF5">
        <w:rPr>
          <w:szCs w:val="24"/>
          <w:lang w:val="en-US"/>
        </w:rPr>
        <w:t xml:space="preserve"> Invitation</w:t>
      </w:r>
      <w:bookmarkEnd w:id="22"/>
      <w:bookmarkEnd w:id="23"/>
      <w:r w:rsidRPr="00D56AF5">
        <w:rPr>
          <w:szCs w:val="24"/>
          <w:lang w:val="en-US"/>
        </w:rPr>
        <w:t xml:space="preserve"> </w:t>
      </w:r>
    </w:p>
    <w:p w14:paraId="1CC37F4B" w14:textId="2FF1927D" w:rsidR="009B3634"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I now turn to a more specific question: under what circumstances are pro-democratic interventions normatively justified? </w:t>
      </w:r>
      <w:r w:rsidR="009B3634">
        <w:rPr>
          <w:rFonts w:ascii="Garamond" w:hAnsi="Garamond"/>
          <w:sz w:val="24"/>
          <w:szCs w:val="24"/>
          <w:lang w:val="en-US"/>
        </w:rPr>
        <w:t xml:space="preserve">Our objective is to understand how existing rules of international law, protect the three enumerated values incorporated by sovereignty.  </w:t>
      </w:r>
    </w:p>
    <w:p w14:paraId="14011291" w14:textId="170AA323" w:rsidR="005B6FE0"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Of relevance here is the doctrine of intervention by invitation, which allows states to legally invite pro-democratic interventions. Although unilateral pro-democratic intervention</w:t>
      </w:r>
      <w:r w:rsidR="00303899" w:rsidRPr="00D56AF5">
        <w:rPr>
          <w:rFonts w:ascii="Garamond" w:hAnsi="Garamond"/>
          <w:sz w:val="24"/>
          <w:szCs w:val="24"/>
          <w:lang w:val="en-US"/>
        </w:rPr>
        <w:t>s</w:t>
      </w:r>
      <w:r w:rsidRPr="00D56AF5">
        <w:rPr>
          <w:rFonts w:ascii="Garamond" w:hAnsi="Garamond"/>
          <w:sz w:val="24"/>
          <w:szCs w:val="24"/>
          <w:lang w:val="en-US"/>
        </w:rPr>
        <w:t xml:space="preserve"> are proscribed </w:t>
      </w:r>
      <w:r w:rsidRPr="00D56AF5">
        <w:rPr>
          <w:rFonts w:ascii="Garamond" w:hAnsi="Garamond"/>
          <w:sz w:val="24"/>
          <w:szCs w:val="24"/>
          <w:lang w:val="en-US"/>
        </w:rPr>
        <w:lastRenderedPageBreak/>
        <w:t>under international law,</w:t>
      </w:r>
      <w:r w:rsidRPr="00D56AF5">
        <w:rPr>
          <w:rFonts w:ascii="Garamond" w:hAnsi="Garamond"/>
          <w:sz w:val="24"/>
          <w:szCs w:val="24"/>
          <w:vertAlign w:val="superscript"/>
          <w:lang w:val="en-US"/>
        </w:rPr>
        <w:footnoteReference w:id="154"/>
      </w:r>
      <w:r w:rsidRPr="00D56AF5">
        <w:rPr>
          <w:rFonts w:ascii="Garamond" w:hAnsi="Garamond"/>
          <w:sz w:val="24"/>
          <w:szCs w:val="24"/>
          <w:lang w:val="en-US"/>
        </w:rPr>
        <w:t xml:space="preserve"> a state may invite a third state or inter-state organization to directly militarily intervene on its territory in order to fight armed groups and terrorist organizations, to assist in humanitarian crises, to prop up interim transitional governments that have garnered international recognition, or to restore constitutional governments.</w:t>
      </w:r>
      <w:r w:rsidRPr="00D56AF5">
        <w:rPr>
          <w:rStyle w:val="FootnoteReference"/>
          <w:rFonts w:ascii="Garamond" w:hAnsi="Garamond"/>
          <w:sz w:val="24"/>
          <w:szCs w:val="24"/>
          <w:lang w:val="en-US"/>
        </w:rPr>
        <w:footnoteReference w:id="155"/>
      </w:r>
      <w:r w:rsidR="008227F7" w:rsidRPr="00D56AF5">
        <w:rPr>
          <w:rFonts w:ascii="Garamond" w:hAnsi="Garamond"/>
          <w:sz w:val="24"/>
          <w:szCs w:val="24"/>
          <w:lang w:val="en-US"/>
        </w:rPr>
        <w:t xml:space="preserve"> </w:t>
      </w:r>
      <w:r w:rsidR="00823E24">
        <w:rPr>
          <w:rFonts w:ascii="Garamond" w:hAnsi="Garamond"/>
          <w:sz w:val="24"/>
          <w:szCs w:val="24"/>
          <w:lang w:val="en-US"/>
        </w:rPr>
        <w:t xml:space="preserve">Such interventions do not violate the peremptory norm in article 2(4) for states to </w:t>
      </w:r>
      <w:r w:rsidR="00823E24" w:rsidRPr="00D56AF5">
        <w:rPr>
          <w:rFonts w:ascii="Garamond" w:hAnsi="Garamond"/>
          <w:sz w:val="24"/>
          <w:szCs w:val="24"/>
          <w:lang w:val="en-US"/>
        </w:rPr>
        <w:t>“</w:t>
      </w:r>
      <w:r w:rsidR="00823E24" w:rsidRPr="00D56AF5">
        <w:rPr>
          <w:rFonts w:ascii="Garamond" w:hAnsi="Garamond"/>
          <w:i/>
          <w:iCs/>
          <w:sz w:val="24"/>
          <w:szCs w:val="24"/>
          <w:lang w:val="en-US"/>
        </w:rPr>
        <w:t>refrain in their international relations from the threat or use of force against the territorial integrity or political independence of any state”</w:t>
      </w:r>
      <w:r w:rsidR="00823E24" w:rsidRPr="00D56AF5">
        <w:rPr>
          <w:rFonts w:ascii="Garamond" w:hAnsi="Garamond"/>
          <w:sz w:val="24"/>
          <w:szCs w:val="24"/>
          <w:lang w:val="en-US"/>
        </w:rPr>
        <w:t xml:space="preserve"> </w:t>
      </w:r>
      <w:r w:rsidR="00823E24">
        <w:rPr>
          <w:rFonts w:ascii="Garamond" w:hAnsi="Garamond"/>
          <w:sz w:val="24"/>
          <w:szCs w:val="24"/>
          <w:lang w:val="en-US"/>
        </w:rPr>
        <w:t xml:space="preserve">because interventions by invitation are </w:t>
      </w:r>
      <w:r w:rsidR="00823E24" w:rsidRPr="00D56AF5">
        <w:rPr>
          <w:rFonts w:ascii="Garamond" w:hAnsi="Garamond"/>
          <w:sz w:val="24"/>
          <w:szCs w:val="24"/>
          <w:lang w:val="en-US"/>
        </w:rPr>
        <w:t>not</w:t>
      </w:r>
      <w:r w:rsidR="00823E24">
        <w:rPr>
          <w:rFonts w:ascii="Garamond" w:hAnsi="Garamond"/>
          <w:sz w:val="24"/>
          <w:szCs w:val="24"/>
          <w:lang w:val="en-US"/>
        </w:rPr>
        <w:t xml:space="preserve"> considered uses</w:t>
      </w:r>
      <w:r w:rsidR="00823E24" w:rsidRPr="00D56AF5">
        <w:rPr>
          <w:rFonts w:ascii="Garamond" w:hAnsi="Garamond"/>
          <w:sz w:val="24"/>
          <w:szCs w:val="24"/>
          <w:lang w:val="en-US"/>
        </w:rPr>
        <w:t xml:space="preserve"> of force in </w:t>
      </w:r>
      <w:r w:rsidR="00823E24" w:rsidRPr="00D56AF5">
        <w:rPr>
          <w:rFonts w:ascii="Garamond" w:hAnsi="Garamond"/>
          <w:i/>
          <w:iCs/>
          <w:sz w:val="24"/>
          <w:szCs w:val="24"/>
          <w:lang w:val="en-US"/>
        </w:rPr>
        <w:t>‘international relations’</w:t>
      </w:r>
      <w:r w:rsidR="00823E24">
        <w:rPr>
          <w:rFonts w:ascii="Garamond" w:hAnsi="Garamond"/>
          <w:sz w:val="24"/>
          <w:szCs w:val="24"/>
          <w:lang w:val="en-US"/>
        </w:rPr>
        <w:t>.</w:t>
      </w:r>
      <w:r w:rsidR="00823E24" w:rsidRPr="00D56AF5">
        <w:rPr>
          <w:rStyle w:val="FootnoteReference"/>
          <w:rFonts w:ascii="Garamond" w:hAnsi="Garamond"/>
          <w:sz w:val="24"/>
          <w:szCs w:val="24"/>
          <w:lang w:val="en-US"/>
        </w:rPr>
        <w:footnoteReference w:id="156"/>
      </w:r>
    </w:p>
    <w:p w14:paraId="4FD8DDDC" w14:textId="7E44D5A2" w:rsidR="00823E24" w:rsidRDefault="00B343C7" w:rsidP="001340AF">
      <w:pPr>
        <w:spacing w:after="120" w:line="480" w:lineRule="auto"/>
        <w:jc w:val="both"/>
        <w:rPr>
          <w:rFonts w:ascii="Garamond" w:hAnsi="Garamond"/>
          <w:sz w:val="24"/>
          <w:szCs w:val="24"/>
          <w:lang w:val="en-US"/>
        </w:rPr>
      </w:pPr>
      <w:r>
        <w:rPr>
          <w:rFonts w:ascii="Garamond" w:hAnsi="Garamond"/>
          <w:sz w:val="24"/>
          <w:szCs w:val="24"/>
          <w:lang w:val="en-US"/>
        </w:rPr>
        <w:t>Additionally</w:t>
      </w:r>
      <w:r w:rsidR="00823E24">
        <w:rPr>
          <w:rFonts w:ascii="Garamond" w:hAnsi="Garamond"/>
          <w:sz w:val="24"/>
          <w:szCs w:val="24"/>
          <w:lang w:val="en-US"/>
        </w:rPr>
        <w:t>,</w:t>
      </w:r>
      <w:r w:rsidR="00A262A5" w:rsidRPr="00D56AF5">
        <w:rPr>
          <w:rFonts w:ascii="Garamond" w:hAnsi="Garamond"/>
          <w:sz w:val="24"/>
          <w:szCs w:val="24"/>
          <w:lang w:val="en-US"/>
        </w:rPr>
        <w:t xml:space="preserve"> </w:t>
      </w:r>
      <w:r>
        <w:rPr>
          <w:rFonts w:ascii="Garamond" w:hAnsi="Garamond"/>
          <w:sz w:val="24"/>
          <w:szCs w:val="24"/>
          <w:lang w:val="en-US"/>
        </w:rPr>
        <w:t xml:space="preserve">interventions </w:t>
      </w:r>
      <w:r w:rsidR="00823E24">
        <w:rPr>
          <w:rFonts w:ascii="Garamond" w:hAnsi="Garamond"/>
          <w:sz w:val="24"/>
          <w:szCs w:val="24"/>
          <w:lang w:val="en-US"/>
        </w:rPr>
        <w:t xml:space="preserve">which occur within the bounds of </w:t>
      </w:r>
      <w:r w:rsidRPr="00B343C7">
        <w:rPr>
          <w:rFonts w:ascii="Garamond" w:hAnsi="Garamond"/>
          <w:i/>
          <w:iCs/>
          <w:sz w:val="24"/>
          <w:szCs w:val="24"/>
          <w:lang w:val="en-US"/>
        </w:rPr>
        <w:t>valid</w:t>
      </w:r>
      <w:r>
        <w:rPr>
          <w:rFonts w:ascii="Garamond" w:hAnsi="Garamond"/>
          <w:sz w:val="24"/>
          <w:szCs w:val="24"/>
          <w:lang w:val="en-US"/>
        </w:rPr>
        <w:t xml:space="preserve"> </w:t>
      </w:r>
      <w:r w:rsidR="00823E24">
        <w:rPr>
          <w:rFonts w:ascii="Garamond" w:hAnsi="Garamond"/>
          <w:sz w:val="24"/>
          <w:szCs w:val="24"/>
          <w:lang w:val="en-US"/>
        </w:rPr>
        <w:t xml:space="preserve">invitations are </w:t>
      </w:r>
      <w:r w:rsidR="00823E24" w:rsidRPr="00D56AF5">
        <w:rPr>
          <w:rFonts w:ascii="Garamond" w:hAnsi="Garamond"/>
          <w:sz w:val="24"/>
          <w:szCs w:val="24"/>
          <w:lang w:val="en-US"/>
        </w:rPr>
        <w:t xml:space="preserve">presumed to </w:t>
      </w:r>
      <w:r w:rsidR="00823E24" w:rsidRPr="00B343C7">
        <w:rPr>
          <w:rFonts w:ascii="Garamond" w:hAnsi="Garamond"/>
          <w:sz w:val="24"/>
          <w:szCs w:val="24"/>
          <w:lang w:val="en-US"/>
        </w:rPr>
        <w:t>reflect</w:t>
      </w:r>
      <w:r w:rsidR="00823E24" w:rsidRPr="00D56AF5">
        <w:rPr>
          <w:rFonts w:ascii="Garamond" w:hAnsi="Garamond"/>
          <w:sz w:val="24"/>
          <w:szCs w:val="24"/>
          <w:lang w:val="en-US"/>
        </w:rPr>
        <w:t xml:space="preserve"> sovereign will.</w:t>
      </w:r>
      <w:r w:rsidR="00823E24" w:rsidRPr="00D56AF5">
        <w:rPr>
          <w:rFonts w:ascii="Garamond" w:hAnsi="Garamond"/>
          <w:sz w:val="24"/>
          <w:szCs w:val="24"/>
          <w:vertAlign w:val="superscript"/>
          <w:lang w:val="en-US"/>
        </w:rPr>
        <w:footnoteReference w:id="157"/>
      </w:r>
      <w:r>
        <w:rPr>
          <w:rFonts w:ascii="Garamond" w:hAnsi="Garamond"/>
          <w:sz w:val="24"/>
          <w:szCs w:val="24"/>
          <w:lang w:val="en-US"/>
        </w:rPr>
        <w:t xml:space="preserve"> Validity is contingent on the invitation </w:t>
      </w:r>
      <w:r w:rsidRPr="00D56AF5">
        <w:rPr>
          <w:rFonts w:ascii="Garamond" w:hAnsi="Garamond"/>
          <w:sz w:val="24"/>
          <w:szCs w:val="24"/>
          <w:lang w:val="en-US"/>
        </w:rPr>
        <w:t>preced</w:t>
      </w:r>
      <w:r>
        <w:rPr>
          <w:rFonts w:ascii="Garamond" w:hAnsi="Garamond"/>
          <w:sz w:val="24"/>
          <w:szCs w:val="24"/>
          <w:lang w:val="en-US"/>
        </w:rPr>
        <w:t>ing</w:t>
      </w:r>
      <w:r w:rsidRPr="00D56AF5">
        <w:rPr>
          <w:rFonts w:ascii="Garamond" w:hAnsi="Garamond"/>
          <w:sz w:val="24"/>
          <w:szCs w:val="24"/>
          <w:lang w:val="en-US"/>
        </w:rPr>
        <w:t xml:space="preserve"> the action</w:t>
      </w:r>
      <w:r>
        <w:rPr>
          <w:rFonts w:ascii="Garamond" w:hAnsi="Garamond"/>
          <w:sz w:val="24"/>
          <w:szCs w:val="24"/>
          <w:lang w:val="en-US"/>
        </w:rPr>
        <w:t xml:space="preserve">, being issued by the highest state representative, and being </w:t>
      </w:r>
      <w:r w:rsidRPr="00D56AF5">
        <w:rPr>
          <w:rFonts w:ascii="Garamond" w:hAnsi="Garamond"/>
          <w:sz w:val="24"/>
          <w:szCs w:val="24"/>
          <w:lang w:val="en-US"/>
        </w:rPr>
        <w:t>specific, valid,</w:t>
      </w:r>
      <w:r>
        <w:rPr>
          <w:rFonts w:ascii="Garamond" w:hAnsi="Garamond"/>
          <w:sz w:val="24"/>
          <w:szCs w:val="24"/>
          <w:lang w:val="en-US"/>
        </w:rPr>
        <w:t xml:space="preserve"> and</w:t>
      </w:r>
      <w:r w:rsidRPr="00D56AF5">
        <w:rPr>
          <w:rFonts w:ascii="Garamond" w:hAnsi="Garamond"/>
          <w:sz w:val="24"/>
          <w:szCs w:val="24"/>
          <w:lang w:val="en-US"/>
        </w:rPr>
        <w:t xml:space="preserve"> freely given</w:t>
      </w:r>
      <w:r>
        <w:rPr>
          <w:rFonts w:ascii="Garamond" w:hAnsi="Garamond"/>
          <w:sz w:val="24"/>
          <w:szCs w:val="24"/>
          <w:lang w:val="en-US"/>
        </w:rPr>
        <w:t>.</w:t>
      </w:r>
      <w:r w:rsidRPr="00D56AF5">
        <w:rPr>
          <w:rStyle w:val="FootnoteReference"/>
          <w:rFonts w:ascii="Garamond" w:hAnsi="Garamond"/>
          <w:sz w:val="24"/>
          <w:szCs w:val="24"/>
          <w:lang w:val="en-US"/>
        </w:rPr>
        <w:footnoteReference w:id="158"/>
      </w:r>
      <w:r>
        <w:rPr>
          <w:rFonts w:ascii="Garamond" w:hAnsi="Garamond"/>
          <w:sz w:val="24"/>
          <w:szCs w:val="24"/>
          <w:lang w:val="en-US"/>
        </w:rPr>
        <w:t xml:space="preserve"> </w:t>
      </w:r>
      <w:r w:rsidR="008920BD">
        <w:rPr>
          <w:rFonts w:ascii="Garamond" w:hAnsi="Garamond"/>
          <w:sz w:val="24"/>
          <w:szCs w:val="24"/>
          <w:lang w:val="en-US"/>
        </w:rPr>
        <w:t xml:space="preserve">I examine these elements </w:t>
      </w:r>
      <w:r>
        <w:rPr>
          <w:rFonts w:ascii="Garamond" w:hAnsi="Garamond"/>
          <w:sz w:val="24"/>
          <w:szCs w:val="24"/>
          <w:lang w:val="en-US"/>
        </w:rPr>
        <w:t xml:space="preserve">in </w:t>
      </w:r>
      <w:r w:rsidR="008920BD">
        <w:rPr>
          <w:rFonts w:ascii="Garamond" w:hAnsi="Garamond"/>
          <w:sz w:val="24"/>
          <w:szCs w:val="24"/>
          <w:lang w:val="en-US"/>
        </w:rPr>
        <w:t>more</w:t>
      </w:r>
      <w:r>
        <w:rPr>
          <w:rFonts w:ascii="Garamond" w:hAnsi="Garamond"/>
          <w:sz w:val="24"/>
          <w:szCs w:val="24"/>
          <w:lang w:val="en-US"/>
        </w:rPr>
        <w:t xml:space="preserve"> detail</w:t>
      </w:r>
      <w:r w:rsidR="008920BD">
        <w:rPr>
          <w:rFonts w:ascii="Garamond" w:hAnsi="Garamond"/>
          <w:sz w:val="24"/>
          <w:szCs w:val="24"/>
          <w:lang w:val="en-US"/>
        </w:rPr>
        <w:t xml:space="preserve"> below</w:t>
      </w:r>
      <w:r>
        <w:rPr>
          <w:rFonts w:ascii="Garamond" w:hAnsi="Garamond"/>
          <w:sz w:val="24"/>
          <w:szCs w:val="24"/>
          <w:lang w:val="en-US"/>
        </w:rPr>
        <w:t xml:space="preserve">. </w:t>
      </w:r>
    </w:p>
    <w:p w14:paraId="3D7D2FBF" w14:textId="7B8F6B07" w:rsidR="00A262A5" w:rsidRPr="0062486A" w:rsidRDefault="00A262A5" w:rsidP="00B679CD">
      <w:pPr>
        <w:pStyle w:val="Heading3"/>
        <w:numPr>
          <w:ilvl w:val="2"/>
          <w:numId w:val="35"/>
        </w:numPr>
        <w:rPr>
          <w:lang w:val="en-US"/>
        </w:rPr>
      </w:pPr>
      <w:bookmarkStart w:id="24" w:name="_Toc191740736"/>
      <w:r w:rsidRPr="0062486A">
        <w:rPr>
          <w:lang w:val="en-US"/>
        </w:rPr>
        <w:t>Who issues the invitation</w:t>
      </w:r>
      <w:bookmarkEnd w:id="24"/>
      <w:r w:rsidRPr="0062486A">
        <w:rPr>
          <w:lang w:val="en-US"/>
        </w:rPr>
        <w:t xml:space="preserve"> </w:t>
      </w:r>
    </w:p>
    <w:p w14:paraId="05DB6B8E" w14:textId="257EE8DB" w:rsidR="006D1526" w:rsidRPr="00D56AF5" w:rsidRDefault="00375064" w:rsidP="001340AF">
      <w:pPr>
        <w:spacing w:after="120" w:line="480" w:lineRule="auto"/>
        <w:jc w:val="both"/>
        <w:rPr>
          <w:rFonts w:ascii="Garamond" w:hAnsi="Garamond"/>
          <w:sz w:val="24"/>
          <w:szCs w:val="24"/>
          <w:lang w:val="en-US"/>
        </w:rPr>
      </w:pPr>
      <w:r w:rsidRPr="00D56AF5">
        <w:rPr>
          <w:rFonts w:ascii="Garamond" w:hAnsi="Garamond"/>
          <w:sz w:val="24"/>
          <w:szCs w:val="24"/>
          <w:lang w:val="en-US"/>
        </w:rPr>
        <w:t>Since interventions relate to the fundamental independence of the state, only the highest state representative, may issue an invitation.</w:t>
      </w:r>
      <w:r w:rsidRPr="00D56AF5">
        <w:rPr>
          <w:rStyle w:val="FootnoteReference"/>
          <w:rFonts w:ascii="Garamond" w:hAnsi="Garamond"/>
          <w:sz w:val="24"/>
          <w:szCs w:val="24"/>
          <w:lang w:val="en-US"/>
        </w:rPr>
        <w:footnoteReference w:id="159"/>
      </w:r>
      <w:r w:rsidRPr="00D56AF5">
        <w:rPr>
          <w:rFonts w:ascii="Garamond" w:hAnsi="Garamond"/>
          <w:sz w:val="24"/>
          <w:szCs w:val="24"/>
          <w:lang w:val="en-US"/>
        </w:rPr>
        <w:t xml:space="preserve"> </w:t>
      </w:r>
      <w:r w:rsidR="00D80AAA">
        <w:rPr>
          <w:rFonts w:ascii="Garamond" w:hAnsi="Garamond"/>
          <w:sz w:val="24"/>
          <w:szCs w:val="24"/>
          <w:lang w:val="en-US"/>
        </w:rPr>
        <w:t>Such c</w:t>
      </w:r>
      <w:r w:rsidR="00A262A5" w:rsidRPr="00D56AF5">
        <w:rPr>
          <w:rFonts w:ascii="Garamond" w:hAnsi="Garamond"/>
          <w:sz w:val="24"/>
          <w:szCs w:val="24"/>
          <w:lang w:val="en-US"/>
        </w:rPr>
        <w:t xml:space="preserve">onsent is viewed as consistent with sovereign will, </w:t>
      </w:r>
      <w:r w:rsidR="00A262A5" w:rsidRPr="00D56AF5">
        <w:rPr>
          <w:rFonts w:ascii="Garamond" w:hAnsi="Garamond"/>
          <w:sz w:val="24"/>
          <w:szCs w:val="24"/>
          <w:lang w:val="en-US"/>
        </w:rPr>
        <w:lastRenderedPageBreak/>
        <w:t>because the legitimate government is considered to represent the interests of the state on the external plane.</w:t>
      </w:r>
      <w:r w:rsidR="00A262A5" w:rsidRPr="00D56AF5">
        <w:rPr>
          <w:rFonts w:ascii="Garamond" w:hAnsi="Garamond"/>
          <w:sz w:val="24"/>
          <w:szCs w:val="24"/>
          <w:vertAlign w:val="superscript"/>
          <w:lang w:val="en-US"/>
        </w:rPr>
        <w:footnoteReference w:id="160"/>
      </w:r>
      <w:r w:rsidR="00A262A5" w:rsidRPr="00D56AF5">
        <w:rPr>
          <w:rFonts w:ascii="Garamond" w:hAnsi="Garamond"/>
          <w:sz w:val="24"/>
          <w:szCs w:val="24"/>
          <w:lang w:val="en-US"/>
        </w:rPr>
        <w:t xml:space="preserve"> </w:t>
      </w:r>
    </w:p>
    <w:p w14:paraId="2EBF6A47" w14:textId="1995B478" w:rsidR="007424BE"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However, identifying who forms the legitimate government is not always a straightforward task. Three hard cases come to mind. </w:t>
      </w:r>
      <w:r w:rsidR="002D6CCC">
        <w:rPr>
          <w:rFonts w:ascii="Garamond" w:hAnsi="Garamond"/>
          <w:sz w:val="24"/>
          <w:szCs w:val="24"/>
          <w:lang w:val="en-US"/>
        </w:rPr>
        <w:t>(1)</w:t>
      </w:r>
      <w:r w:rsidR="00DC0BA2">
        <w:rPr>
          <w:rFonts w:ascii="Garamond" w:hAnsi="Garamond"/>
          <w:sz w:val="24"/>
          <w:szCs w:val="24"/>
          <w:lang w:val="en-US"/>
        </w:rPr>
        <w:t xml:space="preserve"> A </w:t>
      </w:r>
      <w:r w:rsidRPr="00D56AF5">
        <w:rPr>
          <w:rFonts w:ascii="Garamond" w:hAnsi="Garamond"/>
          <w:sz w:val="24"/>
          <w:szCs w:val="24"/>
          <w:lang w:val="en-US"/>
        </w:rPr>
        <w:t>democratically elected government loses effective control of the state’s territory and governmental institutions</w:t>
      </w:r>
      <w:r w:rsidR="00DC0BA2">
        <w:rPr>
          <w:rFonts w:ascii="Garamond" w:hAnsi="Garamond"/>
          <w:sz w:val="24"/>
          <w:szCs w:val="24"/>
          <w:lang w:val="en-US"/>
        </w:rPr>
        <w:t xml:space="preserve"> d</w:t>
      </w:r>
      <w:r w:rsidR="00DC0BA2" w:rsidRPr="00D56AF5">
        <w:rPr>
          <w:rFonts w:ascii="Garamond" w:hAnsi="Garamond"/>
          <w:sz w:val="24"/>
          <w:szCs w:val="24"/>
          <w:lang w:val="en-US"/>
        </w:rPr>
        <w:t xml:space="preserve">ue to a military coup or </w:t>
      </w:r>
      <w:r w:rsidR="00D80AAA">
        <w:rPr>
          <w:rFonts w:ascii="Garamond" w:hAnsi="Garamond"/>
          <w:sz w:val="24"/>
          <w:szCs w:val="24"/>
          <w:lang w:val="en-US"/>
        </w:rPr>
        <w:t xml:space="preserve">another </w:t>
      </w:r>
      <w:r w:rsidR="00DC0BA2" w:rsidRPr="00D56AF5">
        <w:rPr>
          <w:rFonts w:ascii="Garamond" w:hAnsi="Garamond"/>
          <w:sz w:val="24"/>
          <w:szCs w:val="24"/>
          <w:lang w:val="en-US"/>
        </w:rPr>
        <w:t>form of internal unrest</w:t>
      </w:r>
      <w:r w:rsidR="002D6CCC">
        <w:rPr>
          <w:rFonts w:ascii="Garamond" w:hAnsi="Garamond"/>
          <w:sz w:val="24"/>
          <w:szCs w:val="24"/>
          <w:lang w:val="en-US"/>
        </w:rPr>
        <w:t>;</w:t>
      </w:r>
      <w:r w:rsidRPr="00D56AF5">
        <w:rPr>
          <w:rFonts w:ascii="Garamond" w:hAnsi="Garamond"/>
          <w:sz w:val="24"/>
          <w:szCs w:val="24"/>
          <w:lang w:val="en-US"/>
        </w:rPr>
        <w:t xml:space="preserve"> </w:t>
      </w:r>
      <w:r w:rsidR="002D6CCC">
        <w:rPr>
          <w:rFonts w:ascii="Garamond" w:hAnsi="Garamond"/>
          <w:sz w:val="24"/>
          <w:szCs w:val="24"/>
          <w:lang w:val="en-US"/>
        </w:rPr>
        <w:t xml:space="preserve">(2) a </w:t>
      </w:r>
      <w:r w:rsidRPr="00D56AF5">
        <w:rPr>
          <w:rFonts w:ascii="Garamond" w:hAnsi="Garamond"/>
          <w:sz w:val="24"/>
          <w:szCs w:val="24"/>
          <w:lang w:val="en-US"/>
        </w:rPr>
        <w:t>democratically elected government turns despotic, and entrenches its power through farcical elections</w:t>
      </w:r>
      <w:r w:rsidR="002D6CCC">
        <w:rPr>
          <w:rFonts w:ascii="Garamond" w:hAnsi="Garamond"/>
          <w:sz w:val="24"/>
          <w:szCs w:val="24"/>
          <w:lang w:val="en-US"/>
        </w:rPr>
        <w:t xml:space="preserve">; and (3) the </w:t>
      </w:r>
      <w:r w:rsidRPr="00D56AF5">
        <w:rPr>
          <w:rFonts w:ascii="Garamond" w:hAnsi="Garamond"/>
          <w:sz w:val="24"/>
          <w:szCs w:val="24"/>
          <w:lang w:val="en-US"/>
        </w:rPr>
        <w:t>legitimacy of election</w:t>
      </w:r>
      <w:r w:rsidR="00DC0BA2">
        <w:rPr>
          <w:rFonts w:ascii="Garamond" w:hAnsi="Garamond"/>
          <w:sz w:val="24"/>
          <w:szCs w:val="24"/>
          <w:lang w:val="en-US"/>
        </w:rPr>
        <w:t xml:space="preserve"> results are</w:t>
      </w:r>
      <w:r w:rsidRPr="00D56AF5">
        <w:rPr>
          <w:rFonts w:ascii="Garamond" w:hAnsi="Garamond"/>
          <w:sz w:val="24"/>
          <w:szCs w:val="24"/>
          <w:lang w:val="en-US"/>
        </w:rPr>
        <w:t xml:space="preserve"> internally contested, and there is a</w:t>
      </w:r>
      <w:r w:rsidR="00E3708D" w:rsidRPr="00D56AF5">
        <w:rPr>
          <w:rFonts w:ascii="Garamond" w:hAnsi="Garamond"/>
          <w:sz w:val="24"/>
          <w:szCs w:val="24"/>
          <w:lang w:val="en-US"/>
        </w:rPr>
        <w:t xml:space="preserve"> violent</w:t>
      </w:r>
      <w:r w:rsidRPr="00D56AF5">
        <w:rPr>
          <w:rFonts w:ascii="Garamond" w:hAnsi="Garamond"/>
          <w:sz w:val="24"/>
          <w:szCs w:val="24"/>
          <w:lang w:val="en-US"/>
        </w:rPr>
        <w:t xml:space="preserve"> tussle for power between the incumbent who has lost elections and the </w:t>
      </w:r>
      <w:r w:rsidR="00DC0BA2">
        <w:rPr>
          <w:rFonts w:ascii="Garamond" w:hAnsi="Garamond"/>
          <w:sz w:val="24"/>
          <w:szCs w:val="24"/>
          <w:lang w:val="en-US"/>
        </w:rPr>
        <w:t xml:space="preserve">apparent </w:t>
      </w:r>
      <w:r w:rsidRPr="00D56AF5">
        <w:rPr>
          <w:rFonts w:ascii="Garamond" w:hAnsi="Garamond"/>
          <w:sz w:val="24"/>
          <w:szCs w:val="24"/>
          <w:lang w:val="en-US"/>
        </w:rPr>
        <w:t>winner. If these governments were to invite intervention to reinstate them or stave off threats to their rule, should support be rendered</w:t>
      </w:r>
      <w:r w:rsidR="00DC0BA2">
        <w:rPr>
          <w:rFonts w:ascii="Garamond" w:hAnsi="Garamond"/>
          <w:sz w:val="24"/>
          <w:szCs w:val="24"/>
          <w:lang w:val="en-US"/>
        </w:rPr>
        <w:t>, and if so, when</w:t>
      </w:r>
      <w:r w:rsidRPr="00D56AF5">
        <w:rPr>
          <w:rFonts w:ascii="Garamond" w:hAnsi="Garamond"/>
          <w:sz w:val="24"/>
          <w:szCs w:val="24"/>
          <w:lang w:val="en-US"/>
        </w:rPr>
        <w:t xml:space="preserve">? International law provides some </w:t>
      </w:r>
      <w:r w:rsidR="00D80AAA">
        <w:rPr>
          <w:rFonts w:ascii="Garamond" w:hAnsi="Garamond"/>
          <w:sz w:val="24"/>
          <w:szCs w:val="24"/>
          <w:lang w:val="en-US"/>
        </w:rPr>
        <w:t xml:space="preserve">guidance in this regard. </w:t>
      </w:r>
    </w:p>
    <w:p w14:paraId="3D253A7C" w14:textId="03D64C87" w:rsidR="00F10DDA" w:rsidRPr="007424BE" w:rsidRDefault="00D80AAA" w:rsidP="001340AF">
      <w:pPr>
        <w:pStyle w:val="ListParagraph"/>
        <w:numPr>
          <w:ilvl w:val="0"/>
          <w:numId w:val="40"/>
        </w:numPr>
        <w:spacing w:after="120" w:line="480" w:lineRule="auto"/>
        <w:jc w:val="both"/>
        <w:rPr>
          <w:rFonts w:ascii="Garamond" w:hAnsi="Garamond"/>
          <w:i/>
          <w:iCs/>
          <w:sz w:val="24"/>
          <w:szCs w:val="24"/>
          <w:lang w:val="en-US"/>
        </w:rPr>
      </w:pPr>
      <w:r w:rsidRPr="007424BE">
        <w:rPr>
          <w:rFonts w:ascii="Garamond" w:hAnsi="Garamond"/>
          <w:i/>
          <w:iCs/>
          <w:sz w:val="24"/>
          <w:szCs w:val="24"/>
          <w:lang w:val="en-US"/>
        </w:rPr>
        <w:t xml:space="preserve">The effective control test </w:t>
      </w:r>
    </w:p>
    <w:p w14:paraId="16310570" w14:textId="2DB9854B"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Historically, recognition was accorded to the entity that managed to establish effective control over territory and governmental functions, regardless of how that control was established.</w:t>
      </w:r>
      <w:r w:rsidRPr="00D56AF5">
        <w:rPr>
          <w:rFonts w:ascii="Garamond" w:hAnsi="Garamond"/>
          <w:sz w:val="24"/>
          <w:szCs w:val="24"/>
          <w:vertAlign w:val="superscript"/>
          <w:lang w:val="en-US"/>
        </w:rPr>
        <w:footnoteReference w:id="161"/>
      </w:r>
      <w:r w:rsidRPr="00D56AF5">
        <w:rPr>
          <w:rFonts w:ascii="Garamond" w:hAnsi="Garamond"/>
          <w:sz w:val="24"/>
          <w:szCs w:val="24"/>
          <w:lang w:val="en-US"/>
        </w:rPr>
        <w:t xml:space="preserve"> Effective control entail</w:t>
      </w:r>
      <w:r w:rsidR="00B53B52">
        <w:rPr>
          <w:rFonts w:ascii="Garamond" w:hAnsi="Garamond"/>
          <w:sz w:val="24"/>
          <w:szCs w:val="24"/>
          <w:lang w:val="en-US"/>
        </w:rPr>
        <w:t>s</w:t>
      </w:r>
      <w:r w:rsidRPr="00D56AF5">
        <w:rPr>
          <w:rFonts w:ascii="Garamond" w:hAnsi="Garamond"/>
          <w:sz w:val="24"/>
          <w:szCs w:val="24"/>
          <w:lang w:val="en-US"/>
        </w:rPr>
        <w:t xml:space="preserve"> the establishment</w:t>
      </w:r>
      <w:r w:rsidR="002E48C6" w:rsidRPr="00D56AF5">
        <w:rPr>
          <w:rFonts w:ascii="Garamond" w:hAnsi="Garamond"/>
          <w:sz w:val="24"/>
          <w:szCs w:val="24"/>
          <w:lang w:val="en-US"/>
        </w:rPr>
        <w:t xml:space="preserve"> </w:t>
      </w:r>
      <w:r w:rsidR="006E2D11">
        <w:rPr>
          <w:rFonts w:ascii="Garamond" w:hAnsi="Garamond"/>
          <w:sz w:val="24"/>
          <w:szCs w:val="24"/>
          <w:lang w:val="en-US"/>
        </w:rPr>
        <w:t>and</w:t>
      </w:r>
      <w:r w:rsidRPr="00D56AF5">
        <w:rPr>
          <w:rFonts w:ascii="Garamond" w:hAnsi="Garamond"/>
          <w:sz w:val="24"/>
          <w:szCs w:val="24"/>
          <w:lang w:val="en-US"/>
        </w:rPr>
        <w:t xml:space="preserve"> maintenance of a </w:t>
      </w:r>
      <w:r w:rsidR="006E2D11">
        <w:rPr>
          <w:rFonts w:ascii="Garamond" w:hAnsi="Garamond"/>
          <w:sz w:val="24"/>
          <w:szCs w:val="24"/>
          <w:lang w:val="en-US"/>
        </w:rPr>
        <w:t>“</w:t>
      </w:r>
      <w:r w:rsidRPr="006E2D11">
        <w:rPr>
          <w:rFonts w:ascii="Garamond" w:hAnsi="Garamond"/>
          <w:sz w:val="24"/>
          <w:szCs w:val="24"/>
          <w:lang w:val="en-US"/>
        </w:rPr>
        <w:t>peaceful administration with the acquiescence of the people for a substantial period of time</w:t>
      </w:r>
      <w:r w:rsidR="006E2D11">
        <w:rPr>
          <w:rFonts w:ascii="Garamond" w:hAnsi="Garamond"/>
          <w:sz w:val="24"/>
          <w:szCs w:val="24"/>
          <w:lang w:val="en-US"/>
        </w:rPr>
        <w:t>”</w:t>
      </w:r>
      <w:r w:rsidRPr="00D56AF5">
        <w:rPr>
          <w:rFonts w:ascii="Garamond" w:hAnsi="Garamond"/>
          <w:sz w:val="24"/>
          <w:szCs w:val="24"/>
          <w:lang w:val="en-US"/>
        </w:rPr>
        <w:t>.</w:t>
      </w:r>
      <w:r w:rsidRPr="00D56AF5">
        <w:rPr>
          <w:rStyle w:val="FootnoteReference"/>
          <w:rFonts w:ascii="Garamond" w:hAnsi="Garamond"/>
          <w:sz w:val="24"/>
          <w:szCs w:val="24"/>
          <w:lang w:val="en-US"/>
        </w:rPr>
        <w:footnoteReference w:id="162"/>
      </w:r>
      <w:r w:rsidR="00B53B52">
        <w:rPr>
          <w:rFonts w:ascii="Garamond" w:hAnsi="Garamond"/>
          <w:sz w:val="24"/>
          <w:szCs w:val="24"/>
          <w:lang w:val="en-US"/>
        </w:rPr>
        <w:t xml:space="preserve"> </w:t>
      </w:r>
    </w:p>
    <w:p w14:paraId="2C8D3F5F" w14:textId="018EABB3"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The effective control test was conceived as a proxy for popular sovereignty</w:t>
      </w:r>
      <w:r w:rsidR="006E2D11">
        <w:rPr>
          <w:rFonts w:ascii="Garamond" w:hAnsi="Garamond"/>
          <w:sz w:val="24"/>
          <w:szCs w:val="24"/>
          <w:lang w:val="en-US"/>
        </w:rPr>
        <w:t>,</w:t>
      </w:r>
      <w:r w:rsidR="004F4503" w:rsidRPr="00D56AF5">
        <w:rPr>
          <w:rStyle w:val="FootnoteReference"/>
          <w:rFonts w:ascii="Garamond" w:hAnsi="Garamond"/>
          <w:sz w:val="24"/>
          <w:szCs w:val="24"/>
          <w:lang w:val="en-US"/>
        </w:rPr>
        <w:footnoteReference w:id="163"/>
      </w:r>
      <w:r w:rsidRPr="00D56AF5">
        <w:rPr>
          <w:rFonts w:ascii="Garamond" w:hAnsi="Garamond"/>
          <w:sz w:val="24"/>
          <w:szCs w:val="24"/>
          <w:lang w:val="en-US"/>
        </w:rPr>
        <w:t xml:space="preserve"> </w:t>
      </w:r>
      <w:r w:rsidR="006E2D11">
        <w:rPr>
          <w:rFonts w:ascii="Garamond" w:hAnsi="Garamond"/>
          <w:sz w:val="24"/>
          <w:szCs w:val="24"/>
          <w:lang w:val="en-US"/>
        </w:rPr>
        <w:t>s</w:t>
      </w:r>
      <w:r w:rsidR="00087C8D" w:rsidRPr="00D56AF5">
        <w:rPr>
          <w:rFonts w:ascii="Garamond" w:hAnsi="Garamond"/>
          <w:sz w:val="24"/>
          <w:szCs w:val="24"/>
          <w:lang w:val="en-US"/>
        </w:rPr>
        <w:t xml:space="preserve">ince </w:t>
      </w:r>
      <w:r w:rsidR="006E2D11">
        <w:rPr>
          <w:rFonts w:ascii="Garamond" w:hAnsi="Garamond"/>
          <w:sz w:val="24"/>
          <w:szCs w:val="24"/>
          <w:lang w:val="en-US"/>
        </w:rPr>
        <w:t xml:space="preserve">it </w:t>
      </w:r>
      <w:r w:rsidRPr="00D56AF5">
        <w:rPr>
          <w:rFonts w:ascii="Garamond" w:hAnsi="Garamond"/>
          <w:sz w:val="24"/>
          <w:szCs w:val="24"/>
          <w:lang w:val="en-US"/>
        </w:rPr>
        <w:t>presumes some factual level of acceptance or acquiescence from the people</w:t>
      </w:r>
      <w:r w:rsidR="006E2D11">
        <w:rPr>
          <w:rFonts w:ascii="Garamond" w:hAnsi="Garamond"/>
          <w:sz w:val="24"/>
          <w:szCs w:val="24"/>
          <w:lang w:val="en-US"/>
        </w:rPr>
        <w:t>.</w:t>
      </w:r>
      <w:r w:rsidRPr="00D56AF5">
        <w:rPr>
          <w:rFonts w:ascii="Garamond" w:hAnsi="Garamond"/>
          <w:sz w:val="24"/>
          <w:szCs w:val="24"/>
          <w:vertAlign w:val="superscript"/>
          <w:lang w:val="en-US"/>
        </w:rPr>
        <w:footnoteReference w:id="164"/>
      </w:r>
      <w:r w:rsidRPr="00D56AF5">
        <w:rPr>
          <w:rFonts w:ascii="Garamond" w:hAnsi="Garamond"/>
          <w:sz w:val="24"/>
          <w:szCs w:val="24"/>
          <w:lang w:val="en-US"/>
        </w:rPr>
        <w:t xml:space="preserve"> As a criterion of recognition, </w:t>
      </w:r>
      <w:r w:rsidR="006E2D11">
        <w:rPr>
          <w:rFonts w:ascii="Garamond" w:hAnsi="Garamond"/>
          <w:sz w:val="24"/>
          <w:szCs w:val="24"/>
          <w:lang w:val="en-US"/>
        </w:rPr>
        <w:t>it</w:t>
      </w:r>
      <w:r w:rsidRPr="00D56AF5">
        <w:rPr>
          <w:rFonts w:ascii="Garamond" w:hAnsi="Garamond"/>
          <w:sz w:val="24"/>
          <w:szCs w:val="24"/>
          <w:lang w:val="en-US"/>
        </w:rPr>
        <w:t xml:space="preserve"> has marshalled extensive support because it is factually verifiable, evinces some level of unity between the government and the people constituting the political community, and</w:t>
      </w:r>
      <w:r w:rsidR="006E2D11">
        <w:rPr>
          <w:rFonts w:ascii="Garamond" w:hAnsi="Garamond"/>
          <w:sz w:val="24"/>
          <w:szCs w:val="24"/>
          <w:lang w:val="en-US"/>
        </w:rPr>
        <w:t xml:space="preserve"> </w:t>
      </w:r>
      <w:r w:rsidRPr="00D56AF5">
        <w:rPr>
          <w:rFonts w:ascii="Garamond" w:hAnsi="Garamond"/>
          <w:sz w:val="24"/>
          <w:szCs w:val="24"/>
          <w:lang w:val="en-US"/>
        </w:rPr>
        <w:t xml:space="preserve">reconciles </w:t>
      </w:r>
      <w:r w:rsidRPr="00D56AF5">
        <w:rPr>
          <w:rFonts w:ascii="Garamond" w:hAnsi="Garamond"/>
          <w:sz w:val="24"/>
          <w:szCs w:val="24"/>
          <w:lang w:val="en-US"/>
        </w:rPr>
        <w:lastRenderedPageBreak/>
        <w:t>popular sovereignty with ideological pluralism.</w:t>
      </w:r>
      <w:r w:rsidRPr="00D56AF5">
        <w:rPr>
          <w:rFonts w:ascii="Garamond" w:hAnsi="Garamond"/>
          <w:sz w:val="24"/>
          <w:szCs w:val="24"/>
          <w:vertAlign w:val="superscript"/>
          <w:lang w:val="en-US"/>
        </w:rPr>
        <w:footnoteReference w:id="165"/>
      </w:r>
      <w:r w:rsidRPr="00D56AF5">
        <w:rPr>
          <w:rFonts w:ascii="Garamond" w:hAnsi="Garamond"/>
          <w:sz w:val="24"/>
          <w:szCs w:val="24"/>
          <w:lang w:val="en-US"/>
        </w:rPr>
        <w:t xml:space="preserve"> In line with popular sovereignty, the effective control test also enables the recognition of governments which have ascended to power through revolutions and therefore lack the legitimate backing of constitutions.</w:t>
      </w:r>
      <w:r w:rsidRPr="00D56AF5">
        <w:rPr>
          <w:rStyle w:val="FootnoteReference"/>
          <w:rFonts w:ascii="Garamond" w:hAnsi="Garamond"/>
          <w:sz w:val="24"/>
          <w:szCs w:val="24"/>
          <w:lang w:val="en-US"/>
        </w:rPr>
        <w:footnoteReference w:id="166"/>
      </w:r>
    </w:p>
    <w:p w14:paraId="41C4F2E8" w14:textId="77777777"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Nevertheless, its sufficiency as a gauge of self-determination has been questioned. While proponents argue that political communities could conceivably prefer to be ruled by “domestic thugs rather than by foreigners announcing benevolent intentions”,</w:t>
      </w:r>
      <w:r w:rsidRPr="00D56AF5">
        <w:rPr>
          <w:rStyle w:val="FootnoteReference"/>
          <w:rFonts w:ascii="Garamond" w:hAnsi="Garamond"/>
          <w:sz w:val="24"/>
          <w:szCs w:val="24"/>
          <w:lang w:val="en-US"/>
        </w:rPr>
        <w:footnoteReference w:id="167"/>
      </w:r>
      <w:r w:rsidRPr="00D56AF5">
        <w:rPr>
          <w:rFonts w:ascii="Garamond" w:hAnsi="Garamond"/>
          <w:sz w:val="24"/>
          <w:szCs w:val="24"/>
          <w:lang w:val="en-US"/>
        </w:rPr>
        <w:t xml:space="preserve"> critics note that it essentially amounts to a ‘might is right’ approach.</w:t>
      </w:r>
      <w:r w:rsidRPr="00D56AF5">
        <w:rPr>
          <w:rStyle w:val="FootnoteReference"/>
          <w:rFonts w:ascii="Garamond" w:hAnsi="Garamond"/>
          <w:sz w:val="24"/>
          <w:szCs w:val="24"/>
          <w:lang w:val="en-US"/>
        </w:rPr>
        <w:footnoteReference w:id="168"/>
      </w:r>
      <w:r w:rsidRPr="00D56AF5">
        <w:rPr>
          <w:rFonts w:ascii="Garamond" w:hAnsi="Garamond"/>
          <w:sz w:val="24"/>
          <w:szCs w:val="24"/>
          <w:lang w:val="en-US"/>
        </w:rPr>
        <w:t xml:space="preserve"> Indeed, evidence of acquiescence does not mean that the self-determination rights of sub-communities within the state are being guaranteed in any meaningful sense. Peace, as merely the absence of protest could conceivably result from insidious oppression and resource imbalances between political sub-communities. International law has not remained indifferent to these risks.  </w:t>
      </w:r>
    </w:p>
    <w:p w14:paraId="3BA78E7D" w14:textId="1AE37CB4" w:rsidR="00A262A5" w:rsidRPr="007424BE" w:rsidRDefault="00A262A5" w:rsidP="001340AF">
      <w:pPr>
        <w:pStyle w:val="ListParagraph"/>
        <w:numPr>
          <w:ilvl w:val="0"/>
          <w:numId w:val="40"/>
        </w:numPr>
        <w:spacing w:after="120" w:line="480" w:lineRule="auto"/>
        <w:jc w:val="both"/>
        <w:rPr>
          <w:rFonts w:ascii="Garamond" w:hAnsi="Garamond"/>
          <w:i/>
          <w:iCs/>
          <w:sz w:val="24"/>
          <w:szCs w:val="24"/>
          <w:lang w:val="en-US"/>
        </w:rPr>
      </w:pPr>
      <w:r w:rsidRPr="007424BE">
        <w:rPr>
          <w:rFonts w:ascii="Garamond" w:hAnsi="Garamond"/>
          <w:i/>
          <w:iCs/>
          <w:sz w:val="24"/>
          <w:szCs w:val="24"/>
          <w:lang w:val="en-US"/>
        </w:rPr>
        <w:t xml:space="preserve">Legitimacy and Popular resistance </w:t>
      </w:r>
    </w:p>
    <w:p w14:paraId="6C49D52B" w14:textId="77777777" w:rsidR="009C032A" w:rsidRDefault="00D61279" w:rsidP="001340AF">
      <w:pPr>
        <w:spacing w:after="120" w:line="480" w:lineRule="auto"/>
        <w:jc w:val="both"/>
        <w:rPr>
          <w:rFonts w:ascii="Garamond" w:hAnsi="Garamond"/>
          <w:sz w:val="24"/>
          <w:szCs w:val="24"/>
          <w:lang w:val="en-US"/>
        </w:rPr>
      </w:pPr>
      <w:r>
        <w:rPr>
          <w:rFonts w:ascii="Garamond" w:hAnsi="Garamond"/>
          <w:sz w:val="24"/>
          <w:szCs w:val="24"/>
          <w:lang w:val="en-US"/>
        </w:rPr>
        <w:t>I</w:t>
      </w:r>
      <w:r w:rsidR="00A262A5" w:rsidRPr="00D56AF5">
        <w:rPr>
          <w:rFonts w:ascii="Garamond" w:hAnsi="Garamond"/>
          <w:sz w:val="24"/>
          <w:szCs w:val="24"/>
          <w:lang w:val="en-US"/>
        </w:rPr>
        <w:t xml:space="preserve">nternational law </w:t>
      </w:r>
      <w:r w:rsidR="009C032A">
        <w:rPr>
          <w:rFonts w:ascii="Garamond" w:hAnsi="Garamond"/>
          <w:sz w:val="24"/>
          <w:szCs w:val="24"/>
          <w:lang w:val="en-US"/>
        </w:rPr>
        <w:t xml:space="preserve">generally </w:t>
      </w:r>
      <w:r w:rsidR="00A262A5" w:rsidRPr="00D56AF5">
        <w:rPr>
          <w:rFonts w:ascii="Garamond" w:hAnsi="Garamond"/>
          <w:sz w:val="24"/>
          <w:szCs w:val="24"/>
          <w:lang w:val="en-US"/>
        </w:rPr>
        <w:t xml:space="preserve">affords a presumption of continuity in </w:t>
      </w:r>
      <w:r w:rsidR="00A262A5" w:rsidRPr="00D56AF5">
        <w:rPr>
          <w:rFonts w:ascii="Garamond" w:hAnsi="Garamond"/>
          <w:i/>
          <w:iCs/>
          <w:sz w:val="24"/>
          <w:szCs w:val="24"/>
          <w:lang w:val="en-US"/>
        </w:rPr>
        <w:t>de jure</w:t>
      </w:r>
      <w:r w:rsidR="00A262A5" w:rsidRPr="00D56AF5">
        <w:rPr>
          <w:rFonts w:ascii="Garamond" w:hAnsi="Garamond"/>
          <w:sz w:val="24"/>
          <w:szCs w:val="24"/>
          <w:lang w:val="en-US"/>
        </w:rPr>
        <w:t xml:space="preserve"> status to a government that has lost effective control to a non-state group, until the ousted government can clearly no longer mount a resistance.</w:t>
      </w:r>
      <w:r w:rsidR="00A262A5" w:rsidRPr="00D56AF5">
        <w:rPr>
          <w:rFonts w:ascii="Garamond" w:hAnsi="Garamond"/>
          <w:sz w:val="24"/>
          <w:szCs w:val="24"/>
          <w:vertAlign w:val="superscript"/>
          <w:lang w:val="en-US"/>
        </w:rPr>
        <w:footnoteReference w:id="169"/>
      </w:r>
      <w:r w:rsidR="00A262A5" w:rsidRPr="00D56AF5">
        <w:rPr>
          <w:rFonts w:ascii="Garamond" w:hAnsi="Garamond"/>
          <w:sz w:val="24"/>
          <w:szCs w:val="24"/>
          <w:lang w:val="en-US"/>
        </w:rPr>
        <w:t xml:space="preserve"> </w:t>
      </w:r>
      <w:r w:rsidR="00304B73" w:rsidRPr="00D56AF5">
        <w:rPr>
          <w:rFonts w:ascii="Garamond" w:hAnsi="Garamond"/>
          <w:sz w:val="24"/>
          <w:szCs w:val="24"/>
          <w:lang w:val="en-US"/>
        </w:rPr>
        <w:t>This</w:t>
      </w:r>
      <w:r w:rsidR="00A262A5" w:rsidRPr="00D56AF5">
        <w:rPr>
          <w:rFonts w:ascii="Garamond" w:hAnsi="Garamond"/>
          <w:sz w:val="24"/>
          <w:szCs w:val="24"/>
          <w:lang w:val="en-US"/>
        </w:rPr>
        <w:t xml:space="preserve"> presumption has benefitted governments in</w:t>
      </w:r>
      <w:r w:rsidR="008A51D2" w:rsidRPr="00D56AF5">
        <w:rPr>
          <w:rFonts w:ascii="Garamond" w:hAnsi="Garamond"/>
          <w:sz w:val="24"/>
          <w:szCs w:val="24"/>
          <w:lang w:val="en-US"/>
        </w:rPr>
        <w:t xml:space="preserve"> Haiti (1990</w:t>
      </w:r>
      <w:r w:rsidR="006A3172" w:rsidRPr="00D56AF5">
        <w:rPr>
          <w:rFonts w:ascii="Garamond" w:hAnsi="Garamond"/>
          <w:sz w:val="24"/>
          <w:szCs w:val="24"/>
          <w:lang w:val="en-US"/>
        </w:rPr>
        <w:t xml:space="preserve"> and 1994</w:t>
      </w:r>
      <w:r w:rsidR="008A51D2" w:rsidRPr="00D56AF5">
        <w:rPr>
          <w:rFonts w:ascii="Garamond" w:hAnsi="Garamond"/>
          <w:sz w:val="24"/>
          <w:szCs w:val="24"/>
          <w:lang w:val="en-US"/>
        </w:rPr>
        <w:t>)</w:t>
      </w:r>
      <w:r w:rsidR="006A3172" w:rsidRPr="00D56AF5">
        <w:rPr>
          <w:rFonts w:ascii="Garamond" w:hAnsi="Garamond"/>
          <w:sz w:val="24"/>
          <w:szCs w:val="24"/>
          <w:lang w:val="en-US"/>
        </w:rPr>
        <w:t>,</w:t>
      </w:r>
      <w:r w:rsidR="00A262A5" w:rsidRPr="00D56AF5">
        <w:rPr>
          <w:rFonts w:ascii="Garamond" w:hAnsi="Garamond"/>
          <w:sz w:val="24"/>
          <w:szCs w:val="24"/>
          <w:lang w:val="en-US"/>
        </w:rPr>
        <w:t xml:space="preserve"> Sierra Leone (1997), Guinea Bissau (1999), Mali (2013)</w:t>
      </w:r>
      <w:r w:rsidR="00B156DF" w:rsidRPr="00D56AF5">
        <w:rPr>
          <w:rFonts w:ascii="Garamond" w:hAnsi="Garamond"/>
          <w:sz w:val="24"/>
          <w:szCs w:val="24"/>
          <w:lang w:val="en-US"/>
        </w:rPr>
        <w:t>, Libya (2014) and South Sudan (2014)</w:t>
      </w:r>
      <w:r w:rsidR="005A4031" w:rsidRPr="00D56AF5">
        <w:rPr>
          <w:rFonts w:ascii="Garamond" w:hAnsi="Garamond"/>
          <w:sz w:val="24"/>
          <w:szCs w:val="24"/>
          <w:lang w:val="en-US"/>
        </w:rPr>
        <w:t>,</w:t>
      </w:r>
      <w:r w:rsidR="00B156DF" w:rsidRPr="00D56AF5">
        <w:rPr>
          <w:rFonts w:ascii="Garamond" w:hAnsi="Garamond"/>
          <w:sz w:val="24"/>
          <w:szCs w:val="24"/>
          <w:lang w:val="en-US"/>
        </w:rPr>
        <w:t xml:space="preserve"> </w:t>
      </w:r>
      <w:r w:rsidR="003834C1" w:rsidRPr="00D56AF5">
        <w:rPr>
          <w:rFonts w:ascii="Garamond" w:hAnsi="Garamond"/>
          <w:sz w:val="24"/>
          <w:szCs w:val="24"/>
          <w:lang w:val="en-US"/>
        </w:rPr>
        <w:t xml:space="preserve">all of </w:t>
      </w:r>
      <w:r w:rsidR="00A262A5" w:rsidRPr="00D56AF5">
        <w:rPr>
          <w:rFonts w:ascii="Garamond" w:hAnsi="Garamond"/>
          <w:sz w:val="24"/>
          <w:szCs w:val="24"/>
          <w:lang w:val="en-US"/>
        </w:rPr>
        <w:t xml:space="preserve">which have received </w:t>
      </w:r>
      <w:r w:rsidR="006A3172" w:rsidRPr="00D56AF5">
        <w:rPr>
          <w:rFonts w:ascii="Garamond" w:hAnsi="Garamond"/>
          <w:sz w:val="24"/>
          <w:szCs w:val="24"/>
          <w:lang w:val="en-US"/>
        </w:rPr>
        <w:t xml:space="preserve">external </w:t>
      </w:r>
      <w:r w:rsidR="00A262A5" w:rsidRPr="00D56AF5">
        <w:rPr>
          <w:rFonts w:ascii="Garamond" w:hAnsi="Garamond"/>
          <w:sz w:val="24"/>
          <w:szCs w:val="24"/>
          <w:lang w:val="en-US"/>
        </w:rPr>
        <w:t>military support in the face of civil wars and internal unrest.</w:t>
      </w:r>
      <w:r w:rsidR="00A262A5" w:rsidRPr="00D56AF5">
        <w:rPr>
          <w:rStyle w:val="FootnoteReference"/>
          <w:rFonts w:ascii="Garamond" w:hAnsi="Garamond"/>
          <w:sz w:val="24"/>
          <w:szCs w:val="24"/>
          <w:lang w:val="en-US"/>
        </w:rPr>
        <w:footnoteReference w:id="170"/>
      </w:r>
      <w:r w:rsidR="00A262A5" w:rsidRPr="00D56AF5">
        <w:rPr>
          <w:rFonts w:ascii="Garamond" w:hAnsi="Garamond"/>
          <w:sz w:val="24"/>
          <w:szCs w:val="24"/>
          <w:lang w:val="en-US"/>
        </w:rPr>
        <w:t xml:space="preserve"> </w:t>
      </w:r>
      <w:r w:rsidR="00CD0CA7" w:rsidRPr="00D56AF5">
        <w:rPr>
          <w:rFonts w:ascii="Garamond" w:hAnsi="Garamond"/>
          <w:sz w:val="24"/>
          <w:szCs w:val="24"/>
          <w:lang w:val="en-US"/>
        </w:rPr>
        <w:t xml:space="preserve">Yemen’s President Mansur Hadi was also considered entitled to invite intervention in 2015, when he fled to Saudi Arabia on losing control to </w:t>
      </w:r>
      <w:r w:rsidR="0073252F" w:rsidRPr="00D56AF5">
        <w:rPr>
          <w:rFonts w:ascii="Garamond" w:hAnsi="Garamond"/>
          <w:sz w:val="24"/>
          <w:szCs w:val="24"/>
          <w:lang w:val="en-US"/>
        </w:rPr>
        <w:t>the Houthis</w:t>
      </w:r>
      <w:r w:rsidR="00A262A5" w:rsidRPr="00D56AF5">
        <w:rPr>
          <w:rFonts w:ascii="Garamond" w:hAnsi="Garamond"/>
          <w:sz w:val="24"/>
          <w:szCs w:val="24"/>
          <w:lang w:val="en-US"/>
        </w:rPr>
        <w:t>.</w:t>
      </w:r>
      <w:r w:rsidR="00A262A5" w:rsidRPr="00D56AF5">
        <w:rPr>
          <w:rStyle w:val="FootnoteReference"/>
          <w:rFonts w:ascii="Garamond" w:hAnsi="Garamond"/>
          <w:sz w:val="24"/>
          <w:szCs w:val="24"/>
          <w:lang w:val="en-US"/>
        </w:rPr>
        <w:footnoteReference w:id="171"/>
      </w:r>
      <w:r w:rsidR="00BB3B8F">
        <w:rPr>
          <w:rFonts w:ascii="Garamond" w:hAnsi="Garamond"/>
          <w:sz w:val="24"/>
          <w:szCs w:val="24"/>
          <w:lang w:val="en-US"/>
        </w:rPr>
        <w:t xml:space="preserve"> </w:t>
      </w:r>
    </w:p>
    <w:p w14:paraId="0D71F4C1" w14:textId="5C59F5A9" w:rsidR="00A262A5" w:rsidRPr="00D56AF5" w:rsidRDefault="009C032A" w:rsidP="001340AF">
      <w:pPr>
        <w:spacing w:after="120" w:line="480" w:lineRule="auto"/>
        <w:jc w:val="both"/>
        <w:rPr>
          <w:rFonts w:ascii="Garamond" w:hAnsi="Garamond"/>
          <w:sz w:val="24"/>
          <w:szCs w:val="24"/>
          <w:lang w:val="en-US"/>
        </w:rPr>
      </w:pPr>
      <w:r>
        <w:rPr>
          <w:rFonts w:ascii="Garamond" w:hAnsi="Garamond"/>
          <w:sz w:val="24"/>
          <w:szCs w:val="24"/>
          <w:lang w:val="en-US"/>
        </w:rPr>
        <w:lastRenderedPageBreak/>
        <w:t xml:space="preserve">But the </w:t>
      </w:r>
      <w:r w:rsidR="00BB3B8F">
        <w:rPr>
          <w:rFonts w:ascii="Garamond" w:hAnsi="Garamond"/>
          <w:sz w:val="24"/>
          <w:szCs w:val="24"/>
          <w:lang w:val="en-US"/>
        </w:rPr>
        <w:t xml:space="preserve">presumption is overturned when </w:t>
      </w:r>
      <w:r>
        <w:rPr>
          <w:rFonts w:ascii="Garamond" w:hAnsi="Garamond"/>
          <w:sz w:val="24"/>
          <w:szCs w:val="24"/>
          <w:lang w:val="en-US"/>
        </w:rPr>
        <w:t>a</w:t>
      </w:r>
      <w:r w:rsidR="00BB3B8F">
        <w:rPr>
          <w:rFonts w:ascii="Garamond" w:hAnsi="Garamond"/>
          <w:sz w:val="24"/>
          <w:szCs w:val="24"/>
          <w:lang w:val="en-US"/>
        </w:rPr>
        <w:t xml:space="preserve"> new government demonstrates control over the territory and population, governmental administrative capabilities, and a measure of permanence.</w:t>
      </w:r>
      <w:r w:rsidR="00BB3B8F">
        <w:rPr>
          <w:rStyle w:val="FootnoteReference"/>
          <w:rFonts w:ascii="Garamond" w:hAnsi="Garamond"/>
          <w:sz w:val="24"/>
          <w:szCs w:val="24"/>
          <w:lang w:val="en-US"/>
        </w:rPr>
        <w:footnoteReference w:id="172"/>
      </w:r>
      <w:r>
        <w:rPr>
          <w:rFonts w:ascii="Garamond" w:hAnsi="Garamond"/>
          <w:sz w:val="24"/>
          <w:szCs w:val="24"/>
          <w:lang w:val="en-US"/>
        </w:rPr>
        <w:t xml:space="preserve"> </w:t>
      </w:r>
      <w:r w:rsidR="00BB3B8F">
        <w:rPr>
          <w:rFonts w:ascii="Garamond" w:hAnsi="Garamond"/>
          <w:sz w:val="24"/>
          <w:szCs w:val="24"/>
          <w:lang w:val="en-US"/>
        </w:rPr>
        <w:t>Further</w:t>
      </w:r>
      <w:r w:rsidR="00A262A5" w:rsidRPr="00D56AF5">
        <w:rPr>
          <w:rFonts w:ascii="Garamond" w:hAnsi="Garamond"/>
          <w:sz w:val="24"/>
          <w:szCs w:val="24"/>
          <w:lang w:val="en-US"/>
        </w:rPr>
        <w:t xml:space="preserve">, a presumption of continuity is not automatically granted to every fallen regime. When Viktor Yanukovych, the </w:t>
      </w:r>
      <w:r w:rsidR="00A262A5" w:rsidRPr="00D56AF5">
        <w:rPr>
          <w:rFonts w:ascii="Garamond" w:hAnsi="Garamond"/>
          <w:i/>
          <w:sz w:val="24"/>
          <w:szCs w:val="24"/>
          <w:lang w:val="en-US"/>
        </w:rPr>
        <w:t>de jure</w:t>
      </w:r>
      <w:r w:rsidR="00A262A5" w:rsidRPr="00D56AF5">
        <w:rPr>
          <w:rFonts w:ascii="Garamond" w:hAnsi="Garamond"/>
          <w:sz w:val="24"/>
          <w:szCs w:val="24"/>
          <w:lang w:val="en-US"/>
        </w:rPr>
        <w:t xml:space="preserve"> President of Ukraine, was exiled in the </w:t>
      </w:r>
      <w:r w:rsidR="00A262A5" w:rsidRPr="00D56AF5">
        <w:rPr>
          <w:rFonts w:ascii="Garamond" w:hAnsi="Garamond"/>
          <w:i/>
          <w:sz w:val="24"/>
          <w:szCs w:val="24"/>
          <w:lang w:val="en-US"/>
        </w:rPr>
        <w:t>Maidan</w:t>
      </w:r>
      <w:r w:rsidR="00A262A5" w:rsidRPr="00D56AF5">
        <w:rPr>
          <w:rFonts w:ascii="Garamond" w:hAnsi="Garamond"/>
          <w:sz w:val="24"/>
          <w:szCs w:val="24"/>
          <w:lang w:val="en-US"/>
        </w:rPr>
        <w:t xml:space="preserve"> revolution, he received no international support.</w:t>
      </w:r>
      <w:r w:rsidR="00A262A5" w:rsidRPr="00D56AF5">
        <w:rPr>
          <w:rFonts w:ascii="Garamond" w:hAnsi="Garamond"/>
          <w:sz w:val="24"/>
          <w:szCs w:val="24"/>
          <w:vertAlign w:val="superscript"/>
          <w:lang w:val="en-US"/>
        </w:rPr>
        <w:footnoteReference w:id="173"/>
      </w:r>
      <w:r w:rsidR="00A262A5" w:rsidRPr="00D56AF5">
        <w:rPr>
          <w:rFonts w:ascii="Garamond" w:hAnsi="Garamond"/>
          <w:sz w:val="24"/>
          <w:szCs w:val="24"/>
          <w:lang w:val="en-US"/>
        </w:rPr>
        <w:t xml:space="preserve"> Russia’s </w:t>
      </w:r>
      <w:r>
        <w:rPr>
          <w:rFonts w:ascii="Garamond" w:hAnsi="Garamond"/>
          <w:sz w:val="24"/>
          <w:szCs w:val="24"/>
          <w:lang w:val="en-US"/>
        </w:rPr>
        <w:t xml:space="preserve">2014 </w:t>
      </w:r>
      <w:r w:rsidR="00A262A5" w:rsidRPr="00D56AF5">
        <w:rPr>
          <w:rFonts w:ascii="Garamond" w:hAnsi="Garamond"/>
          <w:sz w:val="24"/>
          <w:szCs w:val="24"/>
          <w:lang w:val="en-US"/>
        </w:rPr>
        <w:t>intervention in Ukraine on the pretext of Yanukovych’s invitation</w:t>
      </w:r>
      <w:r>
        <w:rPr>
          <w:rFonts w:ascii="Garamond" w:hAnsi="Garamond"/>
          <w:sz w:val="24"/>
          <w:szCs w:val="24"/>
          <w:lang w:val="en-US"/>
        </w:rPr>
        <w:t xml:space="preserve">, </w:t>
      </w:r>
      <w:r w:rsidR="00A262A5" w:rsidRPr="00D56AF5">
        <w:rPr>
          <w:rFonts w:ascii="Garamond" w:hAnsi="Garamond"/>
          <w:sz w:val="24"/>
          <w:szCs w:val="24"/>
          <w:lang w:val="en-US"/>
        </w:rPr>
        <w:t xml:space="preserve">was considered illegal, because Yanukovych was not recognized as competent to </w:t>
      </w:r>
      <w:r>
        <w:rPr>
          <w:rFonts w:ascii="Garamond" w:hAnsi="Garamond"/>
          <w:sz w:val="24"/>
          <w:szCs w:val="24"/>
          <w:lang w:val="en-US"/>
        </w:rPr>
        <w:t>give authorizations</w:t>
      </w:r>
      <w:r w:rsidR="00A262A5" w:rsidRPr="00D56AF5">
        <w:rPr>
          <w:rFonts w:ascii="Garamond" w:hAnsi="Garamond"/>
          <w:sz w:val="24"/>
          <w:szCs w:val="24"/>
          <w:lang w:val="en-US"/>
        </w:rPr>
        <w:t>.</w:t>
      </w:r>
      <w:r w:rsidR="00A262A5" w:rsidRPr="00D56AF5">
        <w:rPr>
          <w:rStyle w:val="FootnoteReference"/>
          <w:rFonts w:ascii="Garamond" w:hAnsi="Garamond"/>
          <w:sz w:val="24"/>
          <w:szCs w:val="24"/>
          <w:lang w:val="en-US"/>
        </w:rPr>
        <w:footnoteReference w:id="174"/>
      </w:r>
      <w:r w:rsidR="00A262A5" w:rsidRPr="00D56AF5">
        <w:rPr>
          <w:rFonts w:ascii="Garamond" w:hAnsi="Garamond"/>
          <w:sz w:val="24"/>
          <w:szCs w:val="24"/>
          <w:lang w:val="en-US"/>
        </w:rPr>
        <w:t xml:space="preserve"> </w:t>
      </w:r>
      <w:r w:rsidR="00BB3B8F">
        <w:rPr>
          <w:rFonts w:ascii="Garamond" w:hAnsi="Garamond"/>
          <w:sz w:val="24"/>
          <w:szCs w:val="24"/>
          <w:lang w:val="en-US"/>
        </w:rPr>
        <w:t xml:space="preserve">Similarly, France refused to help Bozize fend off a coup in 2013, </w:t>
      </w:r>
      <w:r w:rsidR="00BB3B8F" w:rsidRPr="00BB3B8F">
        <w:rPr>
          <w:rFonts w:ascii="Garamond" w:hAnsi="Garamond"/>
          <w:sz w:val="24"/>
          <w:szCs w:val="24"/>
          <w:lang w:val="en-US"/>
        </w:rPr>
        <w:t>terming the issue an ‘internal matter’ beyond the purview of intervention</w:t>
      </w:r>
      <w:r w:rsidR="00BB3B8F" w:rsidRPr="00BB3B8F">
        <w:rPr>
          <w:rFonts w:ascii="Garamond" w:hAnsi="Garamond"/>
          <w:sz w:val="24"/>
          <w:szCs w:val="24"/>
        </w:rPr>
        <w:t>.</w:t>
      </w:r>
      <w:r w:rsidR="00BB3B8F" w:rsidRPr="00D56AF5">
        <w:rPr>
          <w:rStyle w:val="FootnoteReference"/>
          <w:rFonts w:ascii="Garamond" w:hAnsi="Garamond"/>
          <w:sz w:val="24"/>
          <w:szCs w:val="24"/>
          <w:lang w:val="en-US"/>
        </w:rPr>
        <w:footnoteReference w:id="175"/>
      </w:r>
    </w:p>
    <w:p w14:paraId="67C75066" w14:textId="04E7BADC"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State practice demonstrates a</w:t>
      </w:r>
      <w:r w:rsidR="00E77680">
        <w:rPr>
          <w:rFonts w:ascii="Garamond" w:hAnsi="Garamond"/>
          <w:sz w:val="24"/>
          <w:szCs w:val="24"/>
          <w:lang w:val="en-US"/>
        </w:rPr>
        <w:t xml:space="preserve"> general</w:t>
      </w:r>
      <w:r w:rsidRPr="00D56AF5">
        <w:rPr>
          <w:rFonts w:ascii="Garamond" w:hAnsi="Garamond"/>
          <w:sz w:val="24"/>
          <w:szCs w:val="24"/>
          <w:lang w:val="en-US"/>
        </w:rPr>
        <w:t xml:space="preserve"> unwillingness to support governments that are confronted by popular opposition.</w:t>
      </w:r>
      <w:r w:rsidRPr="00D56AF5">
        <w:rPr>
          <w:rFonts w:ascii="Garamond" w:hAnsi="Garamond"/>
          <w:sz w:val="24"/>
          <w:szCs w:val="24"/>
          <w:vertAlign w:val="superscript"/>
          <w:lang w:val="en-US"/>
        </w:rPr>
        <w:footnoteReference w:id="176"/>
      </w:r>
      <w:r w:rsidRPr="00D56AF5">
        <w:rPr>
          <w:rFonts w:ascii="Garamond" w:hAnsi="Garamond"/>
          <w:sz w:val="24"/>
          <w:szCs w:val="24"/>
          <w:lang w:val="en-US"/>
        </w:rPr>
        <w:t xml:space="preserve"> Even though the rule of strict negative equality in civil wars has fallen into desuetude, where a civil war genuinely casts doubt on the question of legitimate government, states must refrain from intervention in deference to the self-determination of peoples.</w:t>
      </w:r>
      <w:r w:rsidRPr="00D56AF5">
        <w:rPr>
          <w:rStyle w:val="FootnoteReference"/>
          <w:rFonts w:ascii="Garamond" w:hAnsi="Garamond"/>
          <w:sz w:val="24"/>
          <w:szCs w:val="24"/>
          <w:lang w:val="en-US"/>
        </w:rPr>
        <w:footnoteReference w:id="177"/>
      </w:r>
    </w:p>
    <w:p w14:paraId="64645369" w14:textId="79646130"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In practice</w:t>
      </w:r>
      <w:r w:rsidR="006E2D11">
        <w:rPr>
          <w:rFonts w:ascii="Garamond" w:hAnsi="Garamond"/>
          <w:sz w:val="24"/>
          <w:szCs w:val="24"/>
          <w:lang w:val="en-US"/>
        </w:rPr>
        <w:t xml:space="preserve"> as well</w:t>
      </w:r>
      <w:r w:rsidRPr="00D56AF5">
        <w:rPr>
          <w:rFonts w:ascii="Garamond" w:hAnsi="Garamond"/>
          <w:sz w:val="24"/>
          <w:szCs w:val="24"/>
          <w:lang w:val="en-US"/>
        </w:rPr>
        <w:t xml:space="preserve">, </w:t>
      </w:r>
      <w:r w:rsidR="00AB0FAB" w:rsidRPr="00D56AF5">
        <w:rPr>
          <w:rFonts w:ascii="Garamond" w:hAnsi="Garamond"/>
          <w:sz w:val="24"/>
          <w:szCs w:val="24"/>
          <w:lang w:val="en-US"/>
        </w:rPr>
        <w:t xml:space="preserve">inviting and </w:t>
      </w:r>
      <w:r w:rsidRPr="00D56AF5">
        <w:rPr>
          <w:rFonts w:ascii="Garamond" w:hAnsi="Garamond"/>
          <w:sz w:val="24"/>
          <w:szCs w:val="24"/>
          <w:lang w:val="en-US"/>
        </w:rPr>
        <w:t xml:space="preserve">intervening states have avoided </w:t>
      </w:r>
      <w:r w:rsidR="00EC2CC2">
        <w:rPr>
          <w:rFonts w:ascii="Garamond" w:hAnsi="Garamond"/>
          <w:sz w:val="24"/>
          <w:szCs w:val="24"/>
          <w:lang w:val="en-US"/>
        </w:rPr>
        <w:t>defending</w:t>
      </w:r>
      <w:r w:rsidRPr="00D56AF5">
        <w:rPr>
          <w:rFonts w:ascii="Garamond" w:hAnsi="Garamond"/>
          <w:sz w:val="24"/>
          <w:szCs w:val="24"/>
          <w:lang w:val="en-US"/>
        </w:rPr>
        <w:t xml:space="preserve"> interventions on </w:t>
      </w:r>
      <w:r w:rsidR="00EC2CC2">
        <w:rPr>
          <w:rFonts w:ascii="Garamond" w:hAnsi="Garamond"/>
          <w:sz w:val="24"/>
          <w:szCs w:val="24"/>
          <w:lang w:val="en-US"/>
        </w:rPr>
        <w:t xml:space="preserve">grounds of quelling </w:t>
      </w:r>
      <w:r w:rsidRPr="00D56AF5">
        <w:rPr>
          <w:rFonts w:ascii="Garamond" w:hAnsi="Garamond"/>
          <w:sz w:val="24"/>
          <w:szCs w:val="24"/>
          <w:lang w:val="en-US"/>
        </w:rPr>
        <w:t xml:space="preserve">popular uprisings. Instead, they </w:t>
      </w:r>
      <w:r w:rsidR="00EC2CC2">
        <w:rPr>
          <w:rFonts w:ascii="Garamond" w:hAnsi="Garamond"/>
          <w:sz w:val="24"/>
          <w:szCs w:val="24"/>
          <w:lang w:val="en-US"/>
        </w:rPr>
        <w:t>frame their justifications as</w:t>
      </w:r>
      <w:r w:rsidRPr="00D56AF5">
        <w:rPr>
          <w:rFonts w:ascii="Garamond" w:hAnsi="Garamond"/>
          <w:sz w:val="24"/>
          <w:szCs w:val="24"/>
          <w:lang w:val="en-US"/>
        </w:rPr>
        <w:t xml:space="preserve"> countering terrorism or threats to national or regional security, assisting the inviting state in its exercise of self-defense</w:t>
      </w:r>
      <w:r w:rsidR="00EC2CC2">
        <w:rPr>
          <w:rFonts w:ascii="Garamond" w:hAnsi="Garamond"/>
          <w:sz w:val="24"/>
          <w:szCs w:val="24"/>
          <w:lang w:val="en-US"/>
        </w:rPr>
        <w:t xml:space="preserve"> rights</w:t>
      </w:r>
      <w:r w:rsidRPr="00D56AF5">
        <w:rPr>
          <w:rFonts w:ascii="Garamond" w:hAnsi="Garamond"/>
          <w:sz w:val="24"/>
          <w:szCs w:val="24"/>
          <w:lang w:val="en-US"/>
        </w:rPr>
        <w:t xml:space="preserve">, rescuing nationals, preventing humanitarian crises or grave crimes, or protecting </w:t>
      </w:r>
      <w:r w:rsidR="00EC2CC2">
        <w:rPr>
          <w:rFonts w:ascii="Garamond" w:hAnsi="Garamond"/>
          <w:sz w:val="24"/>
          <w:szCs w:val="24"/>
          <w:lang w:val="en-US"/>
        </w:rPr>
        <w:t xml:space="preserve">democratic elections or </w:t>
      </w:r>
      <w:r w:rsidRPr="00D56AF5">
        <w:rPr>
          <w:rFonts w:ascii="Garamond" w:hAnsi="Garamond"/>
          <w:sz w:val="24"/>
          <w:szCs w:val="24"/>
          <w:lang w:val="en-US"/>
        </w:rPr>
        <w:t>democratic government</w:t>
      </w:r>
      <w:r w:rsidR="00EC2CC2">
        <w:rPr>
          <w:rFonts w:ascii="Garamond" w:hAnsi="Garamond"/>
          <w:sz w:val="24"/>
          <w:szCs w:val="24"/>
          <w:lang w:val="en-US"/>
        </w:rPr>
        <w:t>s</w:t>
      </w:r>
      <w:r w:rsidRPr="00D56AF5">
        <w:rPr>
          <w:rFonts w:ascii="Garamond" w:hAnsi="Garamond"/>
          <w:sz w:val="24"/>
          <w:szCs w:val="24"/>
          <w:lang w:val="en-US"/>
        </w:rPr>
        <w:t>.</w:t>
      </w:r>
      <w:r w:rsidRPr="00D56AF5">
        <w:rPr>
          <w:rStyle w:val="FootnoteReference"/>
          <w:rFonts w:ascii="Garamond" w:hAnsi="Garamond"/>
          <w:sz w:val="24"/>
          <w:szCs w:val="24"/>
          <w:lang w:val="en-US"/>
        </w:rPr>
        <w:footnoteReference w:id="178"/>
      </w:r>
      <w:r w:rsidRPr="00D56AF5">
        <w:rPr>
          <w:rFonts w:ascii="Garamond" w:hAnsi="Garamond"/>
          <w:sz w:val="24"/>
          <w:szCs w:val="24"/>
          <w:lang w:val="en-US"/>
        </w:rPr>
        <w:t xml:space="preserve"> Illustratively, Kazakhstan requested </w:t>
      </w:r>
      <w:r w:rsidRPr="00D56AF5">
        <w:rPr>
          <w:rFonts w:ascii="Garamond" w:hAnsi="Garamond"/>
          <w:sz w:val="24"/>
          <w:szCs w:val="24"/>
          <w:lang w:val="en-US"/>
        </w:rPr>
        <w:lastRenderedPageBreak/>
        <w:t xml:space="preserve">military assistance from the Collective Security Treaty Organization in 2022, to counter </w:t>
      </w:r>
      <w:r w:rsidR="002360F8" w:rsidRPr="00D56AF5">
        <w:rPr>
          <w:rFonts w:ascii="Garamond" w:hAnsi="Garamond"/>
          <w:sz w:val="24"/>
          <w:szCs w:val="24"/>
          <w:lang w:val="en-US"/>
        </w:rPr>
        <w:t xml:space="preserve">popular </w:t>
      </w:r>
      <w:r w:rsidRPr="00D56AF5">
        <w:rPr>
          <w:rFonts w:ascii="Garamond" w:hAnsi="Garamond"/>
          <w:sz w:val="24"/>
          <w:szCs w:val="24"/>
          <w:lang w:val="en-US"/>
        </w:rPr>
        <w:t xml:space="preserve">protests against price rises, </w:t>
      </w:r>
      <w:r w:rsidR="00EC2CC2">
        <w:rPr>
          <w:rFonts w:ascii="Garamond" w:hAnsi="Garamond"/>
          <w:sz w:val="24"/>
          <w:szCs w:val="24"/>
          <w:lang w:val="en-US"/>
        </w:rPr>
        <w:t xml:space="preserve">on the pretext </w:t>
      </w:r>
      <w:r w:rsidRPr="00D56AF5">
        <w:rPr>
          <w:rFonts w:ascii="Garamond" w:hAnsi="Garamond"/>
          <w:sz w:val="24"/>
          <w:szCs w:val="24"/>
          <w:lang w:val="en-US"/>
        </w:rPr>
        <w:t>that terrorists were taking advantage of the unrest.</w:t>
      </w:r>
      <w:r w:rsidRPr="00D56AF5">
        <w:rPr>
          <w:rStyle w:val="FootnoteReference"/>
          <w:rFonts w:ascii="Garamond" w:hAnsi="Garamond"/>
          <w:sz w:val="24"/>
          <w:szCs w:val="24"/>
          <w:lang w:val="en-US"/>
        </w:rPr>
        <w:footnoteReference w:id="179"/>
      </w:r>
    </w:p>
    <w:p w14:paraId="77E0D4BC" w14:textId="56B93CFB" w:rsidR="00A262A5" w:rsidRDefault="00A262A5" w:rsidP="001340AF">
      <w:pPr>
        <w:spacing w:after="120" w:line="480" w:lineRule="auto"/>
        <w:jc w:val="both"/>
        <w:rPr>
          <w:rFonts w:ascii="Garamond" w:hAnsi="Garamond"/>
          <w:sz w:val="24"/>
          <w:szCs w:val="24"/>
        </w:rPr>
      </w:pPr>
      <w:r w:rsidRPr="00D56AF5">
        <w:rPr>
          <w:rFonts w:ascii="Garamond" w:hAnsi="Garamond"/>
          <w:sz w:val="24"/>
          <w:szCs w:val="24"/>
          <w:lang w:val="en-US"/>
        </w:rPr>
        <w:t xml:space="preserve">Additionally, governments committing mass human rights abuses have been denied recognition. France denied requests for intervention from governments it once considered legitimate in the Central African Republic (Bokassa in 1979, Dacko in 1981, </w:t>
      </w:r>
      <w:proofErr w:type="spellStart"/>
      <w:r w:rsidRPr="00D56AF5">
        <w:rPr>
          <w:rFonts w:ascii="Garamond" w:hAnsi="Garamond"/>
          <w:sz w:val="24"/>
          <w:szCs w:val="24"/>
          <w:lang w:val="en-US"/>
        </w:rPr>
        <w:t>Patasse</w:t>
      </w:r>
      <w:proofErr w:type="spellEnd"/>
      <w:r w:rsidRPr="00D56AF5">
        <w:rPr>
          <w:rFonts w:ascii="Garamond" w:hAnsi="Garamond"/>
          <w:sz w:val="24"/>
          <w:szCs w:val="24"/>
          <w:lang w:val="en-US"/>
        </w:rPr>
        <w:t xml:space="preserve"> in 2003</w:t>
      </w:r>
      <w:r w:rsidR="00BB3B8F">
        <w:rPr>
          <w:rFonts w:ascii="Garamond" w:hAnsi="Garamond"/>
          <w:sz w:val="24"/>
          <w:szCs w:val="24"/>
          <w:lang w:val="en-US"/>
        </w:rPr>
        <w:t xml:space="preserve">) </w:t>
      </w:r>
      <w:r w:rsidRPr="00D56AF5">
        <w:rPr>
          <w:rFonts w:ascii="Garamond" w:hAnsi="Garamond"/>
          <w:sz w:val="24"/>
          <w:szCs w:val="24"/>
          <w:lang w:val="en-US"/>
        </w:rPr>
        <w:t>and Cote d’Ivoire (</w:t>
      </w:r>
      <w:proofErr w:type="spellStart"/>
      <w:r w:rsidRPr="00D56AF5">
        <w:rPr>
          <w:rFonts w:ascii="Garamond" w:hAnsi="Garamond"/>
          <w:sz w:val="24"/>
          <w:szCs w:val="24"/>
          <w:lang w:val="en-US"/>
        </w:rPr>
        <w:t>Hissene</w:t>
      </w:r>
      <w:proofErr w:type="spellEnd"/>
      <w:r w:rsidRPr="00D56AF5">
        <w:rPr>
          <w:rFonts w:ascii="Garamond" w:hAnsi="Garamond"/>
          <w:sz w:val="24"/>
          <w:szCs w:val="24"/>
          <w:lang w:val="en-US"/>
        </w:rPr>
        <w:t xml:space="preserve"> Habre in 1992, Henri Konan Bedie in 2000 and Laurent Gbagbo in 2002), once they committed </w:t>
      </w:r>
      <w:r w:rsidR="00627A48" w:rsidRPr="00D56AF5">
        <w:rPr>
          <w:rFonts w:ascii="Garamond" w:hAnsi="Garamond"/>
          <w:sz w:val="24"/>
          <w:szCs w:val="24"/>
          <w:lang w:val="en-US"/>
        </w:rPr>
        <w:t>international crimes</w:t>
      </w:r>
      <w:r w:rsidRPr="00D56AF5">
        <w:rPr>
          <w:rFonts w:ascii="Garamond" w:hAnsi="Garamond"/>
          <w:sz w:val="24"/>
          <w:szCs w:val="24"/>
          <w:lang w:val="en-US"/>
        </w:rPr>
        <w:t>.</w:t>
      </w:r>
      <w:r w:rsidRPr="00D56AF5">
        <w:rPr>
          <w:rFonts w:ascii="Garamond" w:hAnsi="Garamond"/>
          <w:sz w:val="24"/>
          <w:szCs w:val="24"/>
          <w:vertAlign w:val="superscript"/>
          <w:lang w:val="en-US"/>
        </w:rPr>
        <w:footnoteReference w:id="180"/>
      </w:r>
      <w:r w:rsidRPr="00D56AF5">
        <w:rPr>
          <w:rFonts w:ascii="Garamond" w:hAnsi="Garamond"/>
          <w:sz w:val="24"/>
          <w:szCs w:val="24"/>
          <w:lang w:val="en-US"/>
        </w:rPr>
        <w:t xml:space="preserve"> The UN has also denied recognition to regimes that are clearly </w:t>
      </w:r>
      <w:r w:rsidR="00164BBA" w:rsidRPr="00D56AF5">
        <w:rPr>
          <w:rFonts w:ascii="Garamond" w:hAnsi="Garamond"/>
          <w:sz w:val="24"/>
          <w:szCs w:val="24"/>
          <w:lang w:val="en-US"/>
        </w:rPr>
        <w:t>opposed</w:t>
      </w:r>
      <w:r w:rsidRPr="00D56AF5">
        <w:rPr>
          <w:rFonts w:ascii="Garamond" w:hAnsi="Garamond"/>
          <w:sz w:val="24"/>
          <w:szCs w:val="24"/>
          <w:lang w:val="en-US"/>
        </w:rPr>
        <w:t xml:space="preserve"> to upholding basic human rights. The </w:t>
      </w:r>
      <w:r w:rsidR="00630CB1" w:rsidRPr="00D56AF5">
        <w:rPr>
          <w:rFonts w:ascii="Garamond" w:hAnsi="Garamond"/>
          <w:sz w:val="24"/>
          <w:szCs w:val="24"/>
          <w:lang w:val="en-US"/>
        </w:rPr>
        <w:t>re</w:t>
      </w:r>
      <w:r w:rsidR="00E81AA1" w:rsidRPr="00D56AF5">
        <w:rPr>
          <w:rFonts w:ascii="Garamond" w:hAnsi="Garamond"/>
          <w:sz w:val="24"/>
          <w:szCs w:val="24"/>
          <w:lang w:val="en-US"/>
        </w:rPr>
        <w:t xml:space="preserve">jection </w:t>
      </w:r>
      <w:r w:rsidR="00630CB1" w:rsidRPr="00D56AF5">
        <w:rPr>
          <w:rFonts w:ascii="Garamond" w:hAnsi="Garamond"/>
          <w:sz w:val="24"/>
          <w:szCs w:val="24"/>
          <w:lang w:val="en-US"/>
        </w:rPr>
        <w:t xml:space="preserve">of </w:t>
      </w:r>
      <w:r w:rsidRPr="00D56AF5">
        <w:rPr>
          <w:rFonts w:ascii="Garamond" w:hAnsi="Garamond"/>
          <w:sz w:val="24"/>
          <w:szCs w:val="24"/>
          <w:lang w:val="en-US"/>
        </w:rPr>
        <w:t>Taliban’s claim to represent Afghanistan and ISIS’ claim that it forms an independent state are two such examples</w:t>
      </w:r>
      <w:r w:rsidRPr="00D56AF5">
        <w:rPr>
          <w:rFonts w:ascii="Garamond" w:hAnsi="Garamond"/>
          <w:sz w:val="24"/>
          <w:szCs w:val="24"/>
        </w:rPr>
        <w:t>.</w:t>
      </w:r>
      <w:r w:rsidRPr="00D56AF5">
        <w:rPr>
          <w:rStyle w:val="FootnoteReference"/>
          <w:rFonts w:ascii="Garamond" w:hAnsi="Garamond"/>
          <w:sz w:val="24"/>
          <w:szCs w:val="24"/>
        </w:rPr>
        <w:footnoteReference w:id="181"/>
      </w:r>
      <w:r w:rsidRPr="00D56AF5">
        <w:rPr>
          <w:rFonts w:ascii="Garamond" w:hAnsi="Garamond"/>
          <w:sz w:val="24"/>
          <w:szCs w:val="24"/>
        </w:rPr>
        <w:t xml:space="preserve"> </w:t>
      </w:r>
    </w:p>
    <w:p w14:paraId="074E183A" w14:textId="54B813C7"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This practice </w:t>
      </w:r>
      <w:r w:rsidR="00DD588D" w:rsidRPr="00D56AF5">
        <w:rPr>
          <w:rFonts w:ascii="Garamond" w:hAnsi="Garamond"/>
          <w:sz w:val="24"/>
          <w:szCs w:val="24"/>
          <w:lang w:val="en-US"/>
        </w:rPr>
        <w:t>embodies</w:t>
      </w:r>
      <w:r w:rsidRPr="00D56AF5">
        <w:rPr>
          <w:rFonts w:ascii="Garamond" w:hAnsi="Garamond"/>
          <w:sz w:val="24"/>
          <w:szCs w:val="24"/>
          <w:lang w:val="en-US"/>
        </w:rPr>
        <w:t xml:space="preserve"> the belief that governments cannot be said to be in sovereign community with their people, when they threaten the very existence of those people. Further, claims to sovereignty will be denied, where states or governments refuse to adhere to basic norms of international law. Such denials are consistent with self-determination </w:t>
      </w:r>
      <w:r w:rsidR="00BB3B8F">
        <w:rPr>
          <w:rFonts w:ascii="Garamond" w:hAnsi="Garamond"/>
          <w:sz w:val="24"/>
          <w:szCs w:val="24"/>
          <w:lang w:val="en-US"/>
        </w:rPr>
        <w:t xml:space="preserve">and popular sovereignty, because those values attract </w:t>
      </w:r>
      <w:r w:rsidRPr="00D56AF5">
        <w:rPr>
          <w:rFonts w:ascii="Garamond" w:hAnsi="Garamond"/>
          <w:sz w:val="24"/>
          <w:szCs w:val="24"/>
          <w:lang w:val="en-US"/>
        </w:rPr>
        <w:t xml:space="preserve">moral </w:t>
      </w:r>
      <w:r w:rsidR="00BB3B8F">
        <w:rPr>
          <w:rFonts w:ascii="Garamond" w:hAnsi="Garamond"/>
          <w:sz w:val="24"/>
          <w:szCs w:val="24"/>
          <w:lang w:val="en-US"/>
        </w:rPr>
        <w:t xml:space="preserve">justification in virtue of </w:t>
      </w:r>
      <w:r w:rsidRPr="00D56AF5">
        <w:rPr>
          <w:rFonts w:ascii="Garamond" w:hAnsi="Garamond"/>
          <w:sz w:val="24"/>
          <w:szCs w:val="24"/>
          <w:lang w:val="en-US"/>
        </w:rPr>
        <w:t xml:space="preserve">governments </w:t>
      </w:r>
      <w:r w:rsidR="00BB3B8F">
        <w:rPr>
          <w:rFonts w:ascii="Garamond" w:hAnsi="Garamond"/>
          <w:sz w:val="24"/>
          <w:szCs w:val="24"/>
          <w:lang w:val="en-US"/>
        </w:rPr>
        <w:t xml:space="preserve">displaying the </w:t>
      </w:r>
      <w:r w:rsidR="00EC2CC2">
        <w:rPr>
          <w:rFonts w:ascii="Garamond" w:hAnsi="Garamond"/>
          <w:sz w:val="24"/>
          <w:szCs w:val="24"/>
          <w:lang w:val="en-US"/>
        </w:rPr>
        <w:t>capacity</w:t>
      </w:r>
      <w:r w:rsidRPr="00D56AF5">
        <w:rPr>
          <w:rFonts w:ascii="Garamond" w:hAnsi="Garamond"/>
          <w:sz w:val="24"/>
          <w:szCs w:val="24"/>
          <w:lang w:val="en-US"/>
        </w:rPr>
        <w:t xml:space="preserve"> </w:t>
      </w:r>
      <w:r w:rsidR="00EC2CC2">
        <w:rPr>
          <w:rFonts w:ascii="Garamond" w:hAnsi="Garamond"/>
          <w:sz w:val="24"/>
          <w:szCs w:val="24"/>
          <w:lang w:val="en-US"/>
        </w:rPr>
        <w:t xml:space="preserve">and </w:t>
      </w:r>
      <w:r w:rsidRPr="00D56AF5">
        <w:rPr>
          <w:rFonts w:ascii="Garamond" w:hAnsi="Garamond"/>
          <w:sz w:val="24"/>
          <w:szCs w:val="24"/>
          <w:lang w:val="en-US"/>
        </w:rPr>
        <w:t>willing</w:t>
      </w:r>
      <w:r w:rsidR="00EC2CC2">
        <w:rPr>
          <w:rFonts w:ascii="Garamond" w:hAnsi="Garamond"/>
          <w:sz w:val="24"/>
          <w:szCs w:val="24"/>
          <w:lang w:val="en-US"/>
        </w:rPr>
        <w:t>ness</w:t>
      </w:r>
      <w:r w:rsidRPr="00D56AF5">
        <w:rPr>
          <w:rFonts w:ascii="Garamond" w:hAnsi="Garamond"/>
          <w:sz w:val="24"/>
          <w:szCs w:val="24"/>
          <w:lang w:val="en-US"/>
        </w:rPr>
        <w:t xml:space="preserve"> to protect the basic rights of </w:t>
      </w:r>
      <w:r w:rsidR="00EC2CC2">
        <w:rPr>
          <w:rFonts w:ascii="Garamond" w:hAnsi="Garamond"/>
          <w:sz w:val="24"/>
          <w:szCs w:val="24"/>
          <w:lang w:val="en-US"/>
        </w:rPr>
        <w:t>their</w:t>
      </w:r>
      <w:r w:rsidRPr="00D56AF5">
        <w:rPr>
          <w:rFonts w:ascii="Garamond" w:hAnsi="Garamond"/>
          <w:sz w:val="24"/>
          <w:szCs w:val="24"/>
          <w:lang w:val="en-US"/>
        </w:rPr>
        <w:t xml:space="preserve"> communities.</w:t>
      </w:r>
    </w:p>
    <w:p w14:paraId="5A041A26" w14:textId="65E04EB3" w:rsidR="00A262A5" w:rsidRPr="007424BE" w:rsidRDefault="007424BE" w:rsidP="001340AF">
      <w:pPr>
        <w:pStyle w:val="ListParagraph"/>
        <w:numPr>
          <w:ilvl w:val="0"/>
          <w:numId w:val="40"/>
        </w:numPr>
        <w:spacing w:after="120" w:line="480" w:lineRule="auto"/>
        <w:jc w:val="both"/>
        <w:rPr>
          <w:rFonts w:ascii="Garamond" w:hAnsi="Garamond"/>
          <w:i/>
          <w:iCs/>
          <w:sz w:val="24"/>
          <w:szCs w:val="24"/>
          <w:lang w:val="en-US"/>
        </w:rPr>
      </w:pPr>
      <w:r>
        <w:rPr>
          <w:rFonts w:ascii="Garamond" w:hAnsi="Garamond"/>
          <w:i/>
          <w:iCs/>
          <w:sz w:val="24"/>
          <w:szCs w:val="24"/>
          <w:lang w:val="en-US"/>
        </w:rPr>
        <w:t xml:space="preserve">No requirement as to democracy </w:t>
      </w:r>
    </w:p>
    <w:p w14:paraId="6A6BFCAB" w14:textId="0C6CBE7D" w:rsidR="00A262A5" w:rsidRPr="00D56AF5" w:rsidRDefault="00C601DD" w:rsidP="001340AF">
      <w:pPr>
        <w:spacing w:after="120" w:line="480" w:lineRule="auto"/>
        <w:jc w:val="both"/>
        <w:rPr>
          <w:rFonts w:ascii="Garamond" w:hAnsi="Garamond"/>
          <w:sz w:val="24"/>
          <w:szCs w:val="24"/>
          <w:lang w:val="en-US"/>
        </w:rPr>
      </w:pPr>
      <w:r>
        <w:rPr>
          <w:rFonts w:ascii="Garamond" w:hAnsi="Garamond"/>
          <w:sz w:val="24"/>
          <w:szCs w:val="24"/>
          <w:lang w:val="en-US"/>
        </w:rPr>
        <w:t xml:space="preserve">A requirement of legitimacy should not however be conflated with democratic credentials. Our three framework principles are underwritten by a value for </w:t>
      </w:r>
      <w:r w:rsidR="00A262A5" w:rsidRPr="00D56AF5">
        <w:rPr>
          <w:rFonts w:ascii="Garamond" w:hAnsi="Garamond"/>
          <w:sz w:val="24"/>
          <w:szCs w:val="24"/>
          <w:lang w:val="en-US"/>
        </w:rPr>
        <w:t xml:space="preserve">political pluralism. They </w:t>
      </w:r>
      <w:r>
        <w:rPr>
          <w:rFonts w:ascii="Garamond" w:hAnsi="Garamond"/>
          <w:sz w:val="24"/>
          <w:szCs w:val="24"/>
          <w:lang w:val="en-US"/>
        </w:rPr>
        <w:t xml:space="preserve">recognize </w:t>
      </w:r>
      <w:r w:rsidR="00A262A5" w:rsidRPr="00D56AF5">
        <w:rPr>
          <w:rFonts w:ascii="Garamond" w:hAnsi="Garamond"/>
          <w:sz w:val="24"/>
          <w:szCs w:val="24"/>
          <w:lang w:val="en-US"/>
        </w:rPr>
        <w:t xml:space="preserve">that social structures can greatly influence </w:t>
      </w:r>
      <w:r w:rsidR="00A262A5" w:rsidRPr="00D56AF5">
        <w:rPr>
          <w:rFonts w:ascii="Garamond" w:hAnsi="Garamond"/>
          <w:i/>
          <w:iCs/>
          <w:sz w:val="24"/>
          <w:szCs w:val="24"/>
          <w:lang w:val="en-US"/>
        </w:rPr>
        <w:t>how</w:t>
      </w:r>
      <w:r w:rsidR="00A262A5" w:rsidRPr="00D56AF5">
        <w:rPr>
          <w:rFonts w:ascii="Garamond" w:hAnsi="Garamond"/>
          <w:sz w:val="24"/>
          <w:szCs w:val="24"/>
          <w:lang w:val="en-US"/>
        </w:rPr>
        <w:t xml:space="preserve"> communities pursue the good, and </w:t>
      </w:r>
      <w:r>
        <w:rPr>
          <w:rFonts w:ascii="Garamond" w:hAnsi="Garamond"/>
          <w:sz w:val="24"/>
          <w:szCs w:val="24"/>
          <w:lang w:val="en-US"/>
        </w:rPr>
        <w:t xml:space="preserve">so these </w:t>
      </w:r>
      <w:r w:rsidR="00A262A5" w:rsidRPr="00D56AF5">
        <w:rPr>
          <w:rFonts w:ascii="Garamond" w:hAnsi="Garamond"/>
          <w:sz w:val="24"/>
          <w:szCs w:val="24"/>
          <w:lang w:val="en-US"/>
        </w:rPr>
        <w:t xml:space="preserve">decisions should be left to political communities </w:t>
      </w:r>
      <w:r>
        <w:rPr>
          <w:rFonts w:ascii="Garamond" w:hAnsi="Garamond"/>
          <w:sz w:val="24"/>
          <w:szCs w:val="24"/>
          <w:lang w:val="en-US"/>
        </w:rPr>
        <w:t>under the principle of subsidiarity</w:t>
      </w:r>
      <w:r w:rsidR="00A262A5" w:rsidRPr="00D56AF5">
        <w:rPr>
          <w:rFonts w:ascii="Garamond" w:hAnsi="Garamond"/>
          <w:sz w:val="24"/>
          <w:szCs w:val="24"/>
          <w:lang w:val="en-US"/>
        </w:rPr>
        <w:t xml:space="preserve">. </w:t>
      </w:r>
    </w:p>
    <w:p w14:paraId="4BC9164B" w14:textId="678C9328"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lastRenderedPageBreak/>
        <w:t xml:space="preserve">International law is sensitive to </w:t>
      </w:r>
      <w:r w:rsidR="00C601DD">
        <w:rPr>
          <w:rFonts w:ascii="Garamond" w:hAnsi="Garamond"/>
          <w:sz w:val="24"/>
          <w:szCs w:val="24"/>
          <w:lang w:val="en-US"/>
        </w:rPr>
        <w:t xml:space="preserve">these </w:t>
      </w:r>
      <w:r w:rsidRPr="00D56AF5">
        <w:rPr>
          <w:rFonts w:ascii="Garamond" w:hAnsi="Garamond"/>
          <w:sz w:val="24"/>
          <w:szCs w:val="24"/>
          <w:lang w:val="en-US"/>
        </w:rPr>
        <w:t xml:space="preserve">considerations. Concordant with the view that an independent moral case cannot be made out </w:t>
      </w:r>
      <w:r w:rsidR="005F4801" w:rsidRPr="00D56AF5">
        <w:rPr>
          <w:rFonts w:ascii="Garamond" w:hAnsi="Garamond"/>
          <w:sz w:val="24"/>
          <w:szCs w:val="24"/>
          <w:lang w:val="en-US"/>
        </w:rPr>
        <w:t xml:space="preserve">for </w:t>
      </w:r>
      <w:r w:rsidRPr="00D56AF5">
        <w:rPr>
          <w:rFonts w:ascii="Garamond" w:hAnsi="Garamond"/>
          <w:sz w:val="24"/>
          <w:szCs w:val="24"/>
          <w:lang w:val="en-US"/>
        </w:rPr>
        <w:t xml:space="preserve">democracy </w:t>
      </w:r>
      <w:r w:rsidR="005F4801" w:rsidRPr="00D56AF5">
        <w:rPr>
          <w:rFonts w:ascii="Garamond" w:hAnsi="Garamond"/>
          <w:sz w:val="24"/>
          <w:szCs w:val="24"/>
          <w:lang w:val="en-US"/>
        </w:rPr>
        <w:t>a</w:t>
      </w:r>
      <w:r w:rsidRPr="00D56AF5">
        <w:rPr>
          <w:rFonts w:ascii="Garamond" w:hAnsi="Garamond"/>
          <w:sz w:val="24"/>
          <w:szCs w:val="24"/>
          <w:lang w:val="en-US"/>
        </w:rPr>
        <w:t xml:space="preserve">s the </w:t>
      </w:r>
      <w:r w:rsidRPr="00D56AF5">
        <w:rPr>
          <w:rFonts w:ascii="Garamond" w:hAnsi="Garamond"/>
          <w:i/>
          <w:iCs/>
          <w:sz w:val="24"/>
          <w:szCs w:val="24"/>
          <w:lang w:val="en-US"/>
        </w:rPr>
        <w:t xml:space="preserve">only </w:t>
      </w:r>
      <w:r w:rsidRPr="00D56AF5">
        <w:rPr>
          <w:rFonts w:ascii="Garamond" w:hAnsi="Garamond"/>
          <w:sz w:val="24"/>
          <w:szCs w:val="24"/>
          <w:lang w:val="en-US"/>
        </w:rPr>
        <w:t>legitimate form of government,</w:t>
      </w:r>
      <w:r w:rsidRPr="00D56AF5">
        <w:rPr>
          <w:rStyle w:val="FootnoteReference"/>
          <w:rFonts w:ascii="Garamond" w:hAnsi="Garamond"/>
          <w:sz w:val="24"/>
          <w:szCs w:val="24"/>
          <w:lang w:val="en-US"/>
        </w:rPr>
        <w:footnoteReference w:id="182"/>
      </w:r>
      <w:r w:rsidRPr="00D56AF5">
        <w:rPr>
          <w:rFonts w:ascii="Garamond" w:hAnsi="Garamond"/>
          <w:sz w:val="24"/>
          <w:szCs w:val="24"/>
          <w:lang w:val="en-US"/>
        </w:rPr>
        <w:t xml:space="preserve"> </w:t>
      </w:r>
      <w:r w:rsidR="00DD51DE">
        <w:rPr>
          <w:rFonts w:ascii="Garamond" w:hAnsi="Garamond"/>
          <w:sz w:val="24"/>
          <w:szCs w:val="24"/>
          <w:lang w:val="en-US"/>
        </w:rPr>
        <w:t xml:space="preserve">international law does not make </w:t>
      </w:r>
      <w:r w:rsidRPr="00D56AF5">
        <w:rPr>
          <w:rFonts w:ascii="Garamond" w:hAnsi="Garamond"/>
          <w:sz w:val="24"/>
          <w:szCs w:val="24"/>
          <w:lang w:val="en-US"/>
        </w:rPr>
        <w:t xml:space="preserve">governmental </w:t>
      </w:r>
      <w:r w:rsidR="00C601DD">
        <w:rPr>
          <w:rFonts w:ascii="Garamond" w:hAnsi="Garamond"/>
          <w:sz w:val="24"/>
          <w:szCs w:val="24"/>
          <w:lang w:val="en-US"/>
        </w:rPr>
        <w:t>recognition contingent on</w:t>
      </w:r>
      <w:r w:rsidR="00DD51DE">
        <w:rPr>
          <w:rFonts w:ascii="Garamond" w:hAnsi="Garamond"/>
          <w:sz w:val="24"/>
          <w:szCs w:val="24"/>
          <w:lang w:val="en-US"/>
        </w:rPr>
        <w:t xml:space="preserve"> democratic origin</w:t>
      </w:r>
      <w:r w:rsidRPr="00D56AF5">
        <w:rPr>
          <w:rFonts w:ascii="Garamond" w:hAnsi="Garamond"/>
          <w:sz w:val="24"/>
          <w:szCs w:val="24"/>
          <w:lang w:val="en-US"/>
        </w:rPr>
        <w:t xml:space="preserve">.  </w:t>
      </w:r>
    </w:p>
    <w:p w14:paraId="7C6923D8" w14:textId="0AF34E7A" w:rsidR="00A262A5" w:rsidRDefault="00DD51DE" w:rsidP="001340AF">
      <w:pPr>
        <w:spacing w:after="120" w:line="480" w:lineRule="auto"/>
        <w:jc w:val="both"/>
        <w:rPr>
          <w:rFonts w:ascii="Garamond" w:hAnsi="Garamond"/>
          <w:sz w:val="24"/>
          <w:szCs w:val="24"/>
          <w:lang w:val="en-US"/>
        </w:rPr>
      </w:pPr>
      <w:r>
        <w:rPr>
          <w:rFonts w:ascii="Garamond" w:hAnsi="Garamond"/>
          <w:sz w:val="24"/>
          <w:szCs w:val="24"/>
          <w:lang w:val="en-US"/>
        </w:rPr>
        <w:t>Indeed</w:t>
      </w:r>
      <w:r w:rsidR="00835F6D" w:rsidRPr="00D56AF5">
        <w:rPr>
          <w:rFonts w:ascii="Garamond" w:hAnsi="Garamond"/>
          <w:sz w:val="24"/>
          <w:szCs w:val="24"/>
          <w:lang w:val="en-US"/>
        </w:rPr>
        <w:t>, there</w:t>
      </w:r>
      <w:r w:rsidR="00A262A5" w:rsidRPr="00D56AF5">
        <w:rPr>
          <w:rFonts w:ascii="Garamond" w:hAnsi="Garamond"/>
          <w:sz w:val="24"/>
          <w:szCs w:val="24"/>
          <w:lang w:val="en-US"/>
        </w:rPr>
        <w:t xml:space="preserve"> are </w:t>
      </w:r>
      <w:r w:rsidR="005F4801" w:rsidRPr="00D56AF5">
        <w:rPr>
          <w:rFonts w:ascii="Garamond" w:hAnsi="Garamond"/>
          <w:sz w:val="24"/>
          <w:szCs w:val="24"/>
          <w:lang w:val="en-US"/>
        </w:rPr>
        <w:t>several</w:t>
      </w:r>
      <w:r w:rsidR="00A262A5" w:rsidRPr="00D56AF5">
        <w:rPr>
          <w:rFonts w:ascii="Garamond" w:hAnsi="Garamond"/>
          <w:sz w:val="24"/>
          <w:szCs w:val="24"/>
          <w:lang w:val="en-US"/>
        </w:rPr>
        <w:t xml:space="preserve"> reasons to abjure democratic </w:t>
      </w:r>
      <w:r w:rsidR="00437176" w:rsidRPr="00D56AF5">
        <w:rPr>
          <w:rFonts w:ascii="Garamond" w:hAnsi="Garamond"/>
          <w:sz w:val="24"/>
          <w:szCs w:val="24"/>
          <w:lang w:val="en-US"/>
        </w:rPr>
        <w:t>origin</w:t>
      </w:r>
      <w:r w:rsidR="00A262A5" w:rsidRPr="00D56AF5">
        <w:rPr>
          <w:rFonts w:ascii="Garamond" w:hAnsi="Garamond"/>
          <w:sz w:val="24"/>
          <w:szCs w:val="24"/>
          <w:lang w:val="en-US"/>
        </w:rPr>
        <w:t xml:space="preserve"> as a precondition to </w:t>
      </w:r>
      <w:r>
        <w:rPr>
          <w:rFonts w:ascii="Garamond" w:hAnsi="Garamond"/>
          <w:sz w:val="24"/>
          <w:szCs w:val="24"/>
          <w:lang w:val="en-US"/>
        </w:rPr>
        <w:t>recognition</w:t>
      </w:r>
      <w:r w:rsidR="00A262A5" w:rsidRPr="00D56AF5">
        <w:rPr>
          <w:rFonts w:ascii="Garamond" w:hAnsi="Garamond"/>
          <w:sz w:val="24"/>
          <w:szCs w:val="24"/>
          <w:lang w:val="en-US"/>
        </w:rPr>
        <w:t>. Fraudulent democratic elections may be instrumentalized to validate results of coups, democratically elected leaders may become vilely abusive and wildly unpopular, free and fair elections can have undemocratic outcomes – like ‘predatory majoritarianism’, where the majority uses elections to oppress an ethnic minority.</w:t>
      </w:r>
      <w:r w:rsidR="00A262A5" w:rsidRPr="00D56AF5">
        <w:rPr>
          <w:rStyle w:val="FootnoteReference"/>
          <w:rFonts w:ascii="Garamond" w:hAnsi="Garamond"/>
          <w:sz w:val="24"/>
          <w:szCs w:val="24"/>
          <w:lang w:val="en-US"/>
        </w:rPr>
        <w:footnoteReference w:id="183"/>
      </w:r>
      <w:r w:rsidR="00A262A5" w:rsidRPr="00D56AF5">
        <w:rPr>
          <w:rFonts w:ascii="Garamond" w:hAnsi="Garamond"/>
          <w:sz w:val="24"/>
          <w:szCs w:val="24"/>
          <w:lang w:val="en-US"/>
        </w:rPr>
        <w:t xml:space="preserve"> </w:t>
      </w:r>
    </w:p>
    <w:p w14:paraId="069EE443" w14:textId="4F09E821" w:rsidR="00DD51DE" w:rsidRPr="00D56AF5" w:rsidRDefault="00DD51DE" w:rsidP="001340AF">
      <w:pPr>
        <w:spacing w:after="120" w:line="480" w:lineRule="auto"/>
        <w:jc w:val="both"/>
        <w:rPr>
          <w:rFonts w:ascii="Garamond" w:hAnsi="Garamond"/>
          <w:sz w:val="24"/>
          <w:szCs w:val="24"/>
          <w:lang w:val="en-US"/>
        </w:rPr>
      </w:pPr>
      <w:r>
        <w:rPr>
          <w:rFonts w:ascii="Garamond" w:hAnsi="Garamond"/>
          <w:sz w:val="24"/>
          <w:szCs w:val="24"/>
          <w:lang w:val="en-US"/>
        </w:rPr>
        <w:t xml:space="preserve">As </w:t>
      </w:r>
      <w:r w:rsidRPr="00D56AF5">
        <w:rPr>
          <w:rFonts w:ascii="Garamond" w:hAnsi="Garamond"/>
          <w:sz w:val="24"/>
          <w:szCs w:val="24"/>
          <w:lang w:val="en-US"/>
        </w:rPr>
        <w:t>a criterion of legitimacy, the ‘democratic origin’ of a government does not weed out arbitrariness in legitimacy assessments.</w:t>
      </w:r>
      <w:r w:rsidRPr="00D56AF5">
        <w:rPr>
          <w:rStyle w:val="FootnoteReference"/>
          <w:rFonts w:ascii="Garamond" w:hAnsi="Garamond"/>
          <w:sz w:val="24"/>
          <w:szCs w:val="24"/>
          <w:lang w:val="en-US"/>
        </w:rPr>
        <w:footnoteReference w:id="184"/>
      </w:r>
      <w:r w:rsidRPr="00D56AF5">
        <w:rPr>
          <w:rFonts w:ascii="Garamond" w:hAnsi="Garamond"/>
          <w:sz w:val="24"/>
          <w:szCs w:val="24"/>
          <w:lang w:val="en-US"/>
        </w:rPr>
        <w:t xml:space="preserve"> Significant differences of opinion can exist about the requirements of democracy - whether it entails substantive or procedural principles, and the content of human rights standards associated with it. But even if states could </w:t>
      </w:r>
      <w:r>
        <w:rPr>
          <w:rFonts w:ascii="Garamond" w:hAnsi="Garamond"/>
          <w:sz w:val="24"/>
          <w:szCs w:val="24"/>
          <w:lang w:val="en-US"/>
        </w:rPr>
        <w:t>agree</w:t>
      </w:r>
      <w:r w:rsidRPr="00D56AF5">
        <w:rPr>
          <w:rFonts w:ascii="Garamond" w:hAnsi="Garamond"/>
          <w:sz w:val="24"/>
          <w:szCs w:val="24"/>
          <w:lang w:val="en-US"/>
        </w:rPr>
        <w:t xml:space="preserve"> </w:t>
      </w:r>
      <w:r>
        <w:rPr>
          <w:rFonts w:ascii="Garamond" w:hAnsi="Garamond"/>
          <w:sz w:val="24"/>
          <w:szCs w:val="24"/>
          <w:lang w:val="en-US"/>
        </w:rPr>
        <w:t xml:space="preserve">on </w:t>
      </w:r>
      <w:r w:rsidRPr="00D56AF5">
        <w:rPr>
          <w:rFonts w:ascii="Garamond" w:hAnsi="Garamond"/>
          <w:sz w:val="24"/>
          <w:szCs w:val="24"/>
          <w:lang w:val="en-US"/>
        </w:rPr>
        <w:t xml:space="preserve">a universal definition of democracy, its </w:t>
      </w:r>
      <w:proofErr w:type="spellStart"/>
      <w:r w:rsidRPr="00D56AF5">
        <w:rPr>
          <w:rFonts w:ascii="Garamond" w:hAnsi="Garamond"/>
          <w:sz w:val="24"/>
          <w:szCs w:val="24"/>
          <w:lang w:val="en-US"/>
        </w:rPr>
        <w:t>affixment</w:t>
      </w:r>
      <w:proofErr w:type="spellEnd"/>
      <w:r w:rsidRPr="00D56AF5">
        <w:rPr>
          <w:rFonts w:ascii="Garamond" w:hAnsi="Garamond"/>
          <w:sz w:val="24"/>
          <w:szCs w:val="24"/>
          <w:lang w:val="en-US"/>
        </w:rPr>
        <w:t xml:space="preserve"> as a precondition to legitimacy would violate the political self-determination and popular sovereignty of communities, by depriving them of the freedom to structure communal life in accordance with political pluralism.</w:t>
      </w:r>
      <w:r w:rsidRPr="00D56AF5">
        <w:rPr>
          <w:rStyle w:val="FootnoteReference"/>
          <w:rFonts w:ascii="Garamond" w:hAnsi="Garamond"/>
          <w:sz w:val="24"/>
          <w:szCs w:val="24"/>
          <w:lang w:val="en-US"/>
        </w:rPr>
        <w:footnoteReference w:id="185"/>
      </w:r>
      <w:r w:rsidRPr="00D56AF5">
        <w:rPr>
          <w:rFonts w:ascii="Garamond" w:hAnsi="Garamond"/>
          <w:sz w:val="24"/>
          <w:szCs w:val="24"/>
          <w:lang w:val="en-US"/>
        </w:rPr>
        <w:t xml:space="preserve"> Within the moral limits of legitimate exercises of self-determination and popular sovereignty, people should be free to subscribe to different values, to decide that they want a non-democratic form of government, or even </w:t>
      </w:r>
      <w:r w:rsidR="009C032A">
        <w:rPr>
          <w:rFonts w:ascii="Garamond" w:hAnsi="Garamond"/>
          <w:sz w:val="24"/>
          <w:szCs w:val="24"/>
          <w:lang w:val="en-US"/>
        </w:rPr>
        <w:t xml:space="preserve">to </w:t>
      </w:r>
      <w:r w:rsidRPr="00D56AF5">
        <w:rPr>
          <w:rFonts w:ascii="Garamond" w:hAnsi="Garamond"/>
          <w:sz w:val="24"/>
          <w:szCs w:val="24"/>
          <w:lang w:val="en-US"/>
        </w:rPr>
        <w:t>institute a contested form of democracy.</w:t>
      </w:r>
      <w:r w:rsidRPr="00D56AF5">
        <w:rPr>
          <w:rStyle w:val="FootnoteReference"/>
          <w:rFonts w:ascii="Garamond" w:hAnsi="Garamond"/>
          <w:sz w:val="24"/>
          <w:szCs w:val="24"/>
        </w:rPr>
        <w:footnoteReference w:id="186"/>
      </w:r>
    </w:p>
    <w:p w14:paraId="076346C7" w14:textId="150704D9" w:rsidR="00DD51DE" w:rsidRPr="00D56AF5" w:rsidRDefault="00DD51DE" w:rsidP="001340AF">
      <w:pPr>
        <w:spacing w:after="120" w:line="480" w:lineRule="auto"/>
        <w:jc w:val="both"/>
        <w:rPr>
          <w:rFonts w:ascii="Garamond" w:hAnsi="Garamond"/>
          <w:sz w:val="24"/>
          <w:szCs w:val="24"/>
          <w:lang w:val="en-US"/>
        </w:rPr>
      </w:pPr>
      <w:r w:rsidRPr="00D56AF5">
        <w:rPr>
          <w:rFonts w:ascii="Garamond" w:hAnsi="Garamond"/>
          <w:sz w:val="24"/>
          <w:szCs w:val="24"/>
        </w:rPr>
        <w:lastRenderedPageBreak/>
        <w:t xml:space="preserve">In this regard, democratizing projects have been termed </w:t>
      </w:r>
      <w:r w:rsidRPr="00D56AF5">
        <w:rPr>
          <w:rFonts w:ascii="Garamond" w:hAnsi="Garamond"/>
          <w:sz w:val="24"/>
          <w:szCs w:val="24"/>
          <w:lang w:val="en-US"/>
        </w:rPr>
        <w:t>‘civilizational’ and ‘imperial’.</w:t>
      </w:r>
      <w:r w:rsidRPr="00D56AF5">
        <w:rPr>
          <w:rStyle w:val="FootnoteReference"/>
          <w:rFonts w:ascii="Garamond" w:hAnsi="Garamond"/>
          <w:sz w:val="24"/>
          <w:szCs w:val="24"/>
        </w:rPr>
        <w:footnoteReference w:id="187"/>
      </w:r>
      <w:r w:rsidRPr="00D56AF5">
        <w:rPr>
          <w:rFonts w:ascii="Garamond" w:hAnsi="Garamond"/>
          <w:sz w:val="24"/>
          <w:szCs w:val="24"/>
          <w:lang w:val="en-US"/>
        </w:rPr>
        <w:t xml:space="preserve"> They allow powerful states to foist singular visions of government on smaller, less powerful nations – visions that have often been crafted to service the interests of third states and external investors, as opposed to shoring up the good of the state’s political community. These impositions sustain </w:t>
      </w:r>
      <w:proofErr w:type="gramStart"/>
      <w:r w:rsidRPr="00D56AF5">
        <w:rPr>
          <w:rFonts w:ascii="Garamond" w:hAnsi="Garamond"/>
          <w:sz w:val="24"/>
          <w:szCs w:val="24"/>
          <w:lang w:val="en-US"/>
        </w:rPr>
        <w:t>hegemonies, and</w:t>
      </w:r>
      <w:proofErr w:type="gramEnd"/>
      <w:r w:rsidRPr="00D56AF5">
        <w:rPr>
          <w:rFonts w:ascii="Garamond" w:hAnsi="Garamond"/>
          <w:sz w:val="24"/>
          <w:szCs w:val="24"/>
          <w:lang w:val="en-US"/>
        </w:rPr>
        <w:t xml:space="preserve"> directly contradict national self-determination. </w:t>
      </w:r>
    </w:p>
    <w:p w14:paraId="6891052F" w14:textId="0D9ED3DB" w:rsidR="00A262A5" w:rsidRPr="00D56AF5" w:rsidRDefault="009C032A" w:rsidP="001340AF">
      <w:pPr>
        <w:spacing w:after="120" w:line="480" w:lineRule="auto"/>
        <w:jc w:val="both"/>
        <w:rPr>
          <w:rFonts w:ascii="Garamond" w:hAnsi="Garamond"/>
          <w:sz w:val="24"/>
          <w:szCs w:val="24"/>
          <w:lang w:val="en-US"/>
        </w:rPr>
      </w:pPr>
      <w:r>
        <w:rPr>
          <w:rFonts w:ascii="Garamond" w:hAnsi="Garamond"/>
          <w:sz w:val="24"/>
          <w:szCs w:val="24"/>
          <w:lang w:val="en-US"/>
        </w:rPr>
        <w:t>Moreover, p</w:t>
      </w:r>
      <w:r w:rsidR="00A262A5" w:rsidRPr="00D56AF5">
        <w:rPr>
          <w:rFonts w:ascii="Garamond" w:hAnsi="Garamond"/>
          <w:sz w:val="24"/>
          <w:szCs w:val="24"/>
          <w:lang w:val="en-US"/>
        </w:rPr>
        <w:t xml:space="preserve">ace </w:t>
      </w:r>
      <w:proofErr w:type="spellStart"/>
      <w:r w:rsidR="00A262A5" w:rsidRPr="00D56AF5">
        <w:rPr>
          <w:rFonts w:ascii="Garamond" w:hAnsi="Garamond"/>
          <w:sz w:val="24"/>
          <w:szCs w:val="24"/>
          <w:lang w:val="en-US"/>
        </w:rPr>
        <w:t>Ryngaert</w:t>
      </w:r>
      <w:proofErr w:type="spellEnd"/>
      <w:r w:rsidR="00A262A5" w:rsidRPr="00D56AF5">
        <w:rPr>
          <w:rFonts w:ascii="Garamond" w:hAnsi="Garamond"/>
          <w:sz w:val="24"/>
          <w:szCs w:val="24"/>
          <w:lang w:val="en-US"/>
        </w:rPr>
        <w:t xml:space="preserve">, majority governments are not legitimate by that fact alone, and coups </w:t>
      </w:r>
      <w:proofErr w:type="spellStart"/>
      <w:r w:rsidR="00A262A5" w:rsidRPr="00D56AF5">
        <w:rPr>
          <w:rFonts w:ascii="Garamond" w:hAnsi="Garamond"/>
          <w:sz w:val="24"/>
          <w:szCs w:val="24"/>
          <w:lang w:val="en-US"/>
        </w:rPr>
        <w:t>détat</w:t>
      </w:r>
      <w:proofErr w:type="spellEnd"/>
      <w:r w:rsidR="00A262A5" w:rsidRPr="00D56AF5">
        <w:rPr>
          <w:rFonts w:ascii="Garamond" w:hAnsi="Garamond"/>
          <w:sz w:val="24"/>
          <w:szCs w:val="24"/>
          <w:lang w:val="en-US"/>
        </w:rPr>
        <w:t xml:space="preserve"> can </w:t>
      </w:r>
      <w:r w:rsidR="00C206AB">
        <w:rPr>
          <w:rFonts w:ascii="Garamond" w:hAnsi="Garamond"/>
          <w:sz w:val="24"/>
          <w:szCs w:val="24"/>
          <w:lang w:val="en-US"/>
        </w:rPr>
        <w:t xml:space="preserve">occur </w:t>
      </w:r>
      <w:r w:rsidR="00A262A5" w:rsidRPr="00D56AF5">
        <w:rPr>
          <w:rFonts w:ascii="Garamond" w:hAnsi="Garamond"/>
          <w:sz w:val="24"/>
          <w:szCs w:val="24"/>
          <w:lang w:val="en-US"/>
        </w:rPr>
        <w:t>in response to popular uprisings.</w:t>
      </w:r>
      <w:r w:rsidR="00A262A5" w:rsidRPr="00D56AF5">
        <w:rPr>
          <w:rStyle w:val="FootnoteReference"/>
          <w:rFonts w:ascii="Garamond" w:hAnsi="Garamond"/>
          <w:sz w:val="24"/>
          <w:szCs w:val="24"/>
          <w:lang w:val="en-US"/>
        </w:rPr>
        <w:footnoteReference w:id="188"/>
      </w:r>
      <w:r w:rsidR="00A262A5" w:rsidRPr="00D56AF5">
        <w:rPr>
          <w:rFonts w:ascii="Garamond" w:hAnsi="Garamond"/>
          <w:sz w:val="24"/>
          <w:szCs w:val="24"/>
          <w:lang w:val="en-US"/>
        </w:rPr>
        <w:t xml:space="preserve"> </w:t>
      </w:r>
      <w:r w:rsidR="00C601DD">
        <w:rPr>
          <w:rFonts w:ascii="Garamond" w:hAnsi="Garamond"/>
          <w:sz w:val="24"/>
          <w:szCs w:val="24"/>
          <w:lang w:val="en-US"/>
        </w:rPr>
        <w:t>In exceptional cases</w:t>
      </w:r>
      <w:r w:rsidR="00A262A5" w:rsidRPr="00D56AF5">
        <w:rPr>
          <w:rFonts w:ascii="Garamond" w:hAnsi="Garamond"/>
          <w:sz w:val="24"/>
          <w:szCs w:val="24"/>
          <w:lang w:val="en-US"/>
        </w:rPr>
        <w:t xml:space="preserve">, military coups </w:t>
      </w:r>
      <w:r w:rsidR="00C601DD">
        <w:rPr>
          <w:rFonts w:ascii="Garamond" w:hAnsi="Garamond"/>
          <w:sz w:val="24"/>
          <w:szCs w:val="24"/>
          <w:lang w:val="en-US"/>
        </w:rPr>
        <w:t xml:space="preserve">have acted </w:t>
      </w:r>
      <w:r w:rsidR="00A262A5" w:rsidRPr="00D56AF5">
        <w:rPr>
          <w:rFonts w:ascii="Garamond" w:hAnsi="Garamond"/>
          <w:sz w:val="24"/>
          <w:szCs w:val="24"/>
          <w:lang w:val="en-US"/>
        </w:rPr>
        <w:t xml:space="preserve">on popular will </w:t>
      </w:r>
      <w:r w:rsidR="00C601DD">
        <w:rPr>
          <w:rFonts w:ascii="Garamond" w:hAnsi="Garamond"/>
          <w:sz w:val="24"/>
          <w:szCs w:val="24"/>
          <w:lang w:val="en-US"/>
        </w:rPr>
        <w:t xml:space="preserve">to </w:t>
      </w:r>
      <w:r w:rsidR="00A262A5" w:rsidRPr="00D56AF5">
        <w:rPr>
          <w:rFonts w:ascii="Garamond" w:hAnsi="Garamond"/>
          <w:sz w:val="24"/>
          <w:szCs w:val="24"/>
          <w:lang w:val="en-US"/>
        </w:rPr>
        <w:t>facilitate desirable democratic changes within a state</w:t>
      </w:r>
      <w:r>
        <w:rPr>
          <w:rFonts w:ascii="Garamond" w:hAnsi="Garamond"/>
          <w:sz w:val="24"/>
          <w:szCs w:val="24"/>
          <w:lang w:val="en-US"/>
        </w:rPr>
        <w:t xml:space="preserve"> – a </w:t>
      </w:r>
      <w:r w:rsidR="00A262A5" w:rsidRPr="00D56AF5">
        <w:rPr>
          <w:rFonts w:ascii="Garamond" w:hAnsi="Garamond"/>
          <w:sz w:val="24"/>
          <w:szCs w:val="24"/>
          <w:lang w:val="en-US"/>
        </w:rPr>
        <w:t xml:space="preserve">widely supported military coup in Mauritania </w:t>
      </w:r>
      <w:r>
        <w:rPr>
          <w:rFonts w:ascii="Garamond" w:hAnsi="Garamond"/>
          <w:sz w:val="24"/>
          <w:szCs w:val="24"/>
          <w:lang w:val="en-US"/>
        </w:rPr>
        <w:t xml:space="preserve">in 2005, </w:t>
      </w:r>
      <w:r w:rsidR="00A262A5" w:rsidRPr="00D56AF5">
        <w:rPr>
          <w:rFonts w:ascii="Garamond" w:hAnsi="Garamond"/>
          <w:sz w:val="24"/>
          <w:szCs w:val="24"/>
          <w:lang w:val="en-US"/>
        </w:rPr>
        <w:t>removed an unpopular and unjust, albeit democratically elected head of state, and successfully introduced democratic reforms.</w:t>
      </w:r>
      <w:r w:rsidR="00A262A5" w:rsidRPr="00D56AF5">
        <w:rPr>
          <w:rStyle w:val="FootnoteReference"/>
          <w:rFonts w:ascii="Garamond" w:hAnsi="Garamond"/>
          <w:sz w:val="24"/>
          <w:szCs w:val="24"/>
          <w:lang w:val="en-US"/>
        </w:rPr>
        <w:footnoteReference w:id="189"/>
      </w:r>
      <w:r w:rsidR="00A262A5" w:rsidRPr="00D56AF5">
        <w:rPr>
          <w:rFonts w:ascii="Garamond" w:hAnsi="Garamond"/>
          <w:sz w:val="24"/>
          <w:szCs w:val="24"/>
          <w:lang w:val="en-US"/>
        </w:rPr>
        <w:t xml:space="preserve"> Similarly, a 2010 military coup in Niger was instrumental in ending the reign of a government responsible for democratic backsliding, and a coup </w:t>
      </w:r>
      <w:proofErr w:type="spellStart"/>
      <w:r w:rsidR="00A262A5" w:rsidRPr="00D56AF5">
        <w:rPr>
          <w:rFonts w:ascii="Garamond" w:hAnsi="Garamond"/>
          <w:sz w:val="24"/>
          <w:szCs w:val="24"/>
          <w:lang w:val="en-US"/>
        </w:rPr>
        <w:t>détat</w:t>
      </w:r>
      <w:proofErr w:type="spellEnd"/>
      <w:r w:rsidR="00A262A5" w:rsidRPr="00D56AF5">
        <w:rPr>
          <w:rFonts w:ascii="Garamond" w:hAnsi="Garamond"/>
          <w:sz w:val="24"/>
          <w:szCs w:val="24"/>
          <w:lang w:val="en-US"/>
        </w:rPr>
        <w:t xml:space="preserve"> in Egypt replaced the autocracy of Hosni Mubarak with democracy in 2011.</w:t>
      </w:r>
      <w:r w:rsidR="00A262A5" w:rsidRPr="00D56AF5">
        <w:rPr>
          <w:rStyle w:val="FootnoteReference"/>
          <w:rFonts w:ascii="Garamond" w:hAnsi="Garamond"/>
          <w:sz w:val="24"/>
          <w:szCs w:val="24"/>
          <w:lang w:val="en-US"/>
        </w:rPr>
        <w:footnoteReference w:id="190"/>
      </w:r>
      <w:r w:rsidR="00A262A5" w:rsidRPr="00D56AF5">
        <w:rPr>
          <w:rFonts w:ascii="Garamond" w:hAnsi="Garamond"/>
          <w:sz w:val="24"/>
          <w:szCs w:val="24"/>
          <w:lang w:val="en-US"/>
        </w:rPr>
        <w:t xml:space="preserve"> </w:t>
      </w:r>
    </w:p>
    <w:p w14:paraId="1E80D5AF" w14:textId="2A733526" w:rsidR="00A262A5" w:rsidRPr="00D56AF5" w:rsidRDefault="00DD51DE" w:rsidP="001340AF">
      <w:pPr>
        <w:spacing w:after="120" w:line="480" w:lineRule="auto"/>
        <w:jc w:val="both"/>
        <w:rPr>
          <w:rFonts w:ascii="Garamond" w:hAnsi="Garamond"/>
          <w:sz w:val="24"/>
          <w:szCs w:val="24"/>
          <w:lang w:val="en-US"/>
        </w:rPr>
      </w:pPr>
      <w:r>
        <w:rPr>
          <w:rFonts w:ascii="Garamond" w:hAnsi="Garamond"/>
          <w:sz w:val="24"/>
          <w:szCs w:val="24"/>
          <w:lang w:val="en-US"/>
        </w:rPr>
        <w:t xml:space="preserve">Absent </w:t>
      </w:r>
      <w:r w:rsidR="00DE746A" w:rsidRPr="00D56AF5">
        <w:rPr>
          <w:rFonts w:ascii="Garamond" w:hAnsi="Garamond"/>
          <w:sz w:val="24"/>
          <w:szCs w:val="24"/>
          <w:lang w:val="en-US"/>
        </w:rPr>
        <w:t xml:space="preserve">adequate </w:t>
      </w:r>
      <w:r w:rsidR="00A262A5" w:rsidRPr="00D56AF5">
        <w:rPr>
          <w:rFonts w:ascii="Garamond" w:hAnsi="Garamond"/>
          <w:sz w:val="24"/>
          <w:szCs w:val="24"/>
          <w:lang w:val="en-US"/>
        </w:rPr>
        <w:t xml:space="preserve">democratic alternatives, it may </w:t>
      </w:r>
      <w:r w:rsidR="009C032A">
        <w:rPr>
          <w:rFonts w:ascii="Garamond" w:hAnsi="Garamond"/>
          <w:sz w:val="24"/>
          <w:szCs w:val="24"/>
          <w:lang w:val="en-US"/>
        </w:rPr>
        <w:t xml:space="preserve">also </w:t>
      </w:r>
      <w:r w:rsidR="00A262A5" w:rsidRPr="00D56AF5">
        <w:rPr>
          <w:rFonts w:ascii="Garamond" w:hAnsi="Garamond"/>
          <w:sz w:val="24"/>
          <w:szCs w:val="24"/>
          <w:lang w:val="en-US"/>
        </w:rPr>
        <w:t>become</w:t>
      </w:r>
      <w:r w:rsidR="005D136A" w:rsidRPr="00D56AF5">
        <w:rPr>
          <w:rFonts w:ascii="Garamond" w:hAnsi="Garamond"/>
          <w:sz w:val="24"/>
          <w:szCs w:val="24"/>
          <w:lang w:val="en-US"/>
        </w:rPr>
        <w:t xml:space="preserve"> expedient </w:t>
      </w:r>
      <w:r w:rsidR="00A262A5" w:rsidRPr="00D56AF5">
        <w:rPr>
          <w:rFonts w:ascii="Garamond" w:hAnsi="Garamond"/>
          <w:sz w:val="24"/>
          <w:szCs w:val="24"/>
          <w:lang w:val="en-US"/>
        </w:rPr>
        <w:t>to recognize undemocratic regimes</w:t>
      </w:r>
      <w:r w:rsidR="009C032A">
        <w:rPr>
          <w:rFonts w:ascii="Garamond" w:hAnsi="Garamond"/>
          <w:sz w:val="24"/>
          <w:szCs w:val="24"/>
          <w:lang w:val="en-US"/>
        </w:rPr>
        <w:t>.</w:t>
      </w:r>
      <w:r w:rsidR="007117CE" w:rsidRPr="00D56AF5">
        <w:rPr>
          <w:rStyle w:val="FootnoteReference"/>
          <w:rFonts w:ascii="Garamond" w:hAnsi="Garamond"/>
          <w:sz w:val="24"/>
          <w:szCs w:val="24"/>
          <w:lang w:val="en-US"/>
        </w:rPr>
        <w:footnoteReference w:id="191"/>
      </w:r>
      <w:r w:rsidR="00A262A5" w:rsidRPr="00D56AF5">
        <w:rPr>
          <w:rFonts w:ascii="Garamond" w:hAnsi="Garamond"/>
          <w:sz w:val="24"/>
          <w:szCs w:val="24"/>
          <w:lang w:val="en-US"/>
        </w:rPr>
        <w:t xml:space="preserve"> </w:t>
      </w:r>
      <w:r w:rsidR="007117CE" w:rsidRPr="00D56AF5">
        <w:rPr>
          <w:rFonts w:ascii="Garamond" w:hAnsi="Garamond"/>
          <w:sz w:val="24"/>
          <w:szCs w:val="24"/>
          <w:lang w:val="en-US"/>
        </w:rPr>
        <w:t>I</w:t>
      </w:r>
      <w:r w:rsidR="00A75C90" w:rsidRPr="00D56AF5">
        <w:rPr>
          <w:rFonts w:ascii="Garamond" w:hAnsi="Garamond"/>
          <w:sz w:val="24"/>
          <w:szCs w:val="24"/>
          <w:lang w:val="en-US"/>
        </w:rPr>
        <w:t>n</w:t>
      </w:r>
      <w:r w:rsidR="007117CE" w:rsidRPr="00D56AF5">
        <w:rPr>
          <w:rFonts w:ascii="Garamond" w:hAnsi="Garamond"/>
          <w:sz w:val="24"/>
          <w:szCs w:val="24"/>
          <w:lang w:val="en-US"/>
        </w:rPr>
        <w:t xml:space="preserve"> this vein</w:t>
      </w:r>
      <w:r w:rsidR="00A262A5" w:rsidRPr="00D56AF5">
        <w:rPr>
          <w:rFonts w:ascii="Garamond" w:hAnsi="Garamond"/>
          <w:sz w:val="24"/>
          <w:szCs w:val="24"/>
          <w:lang w:val="en-US"/>
        </w:rPr>
        <w:t>, the UN recognized the National Transitional Council as the representative of Libya, despite its ascent to power through violent means, and Maduro as the representative of Venezuela, notwithstanding allegations of fraudulent elections, and prior limited recognition of his ineffective opposition.</w:t>
      </w:r>
      <w:r w:rsidR="00A262A5" w:rsidRPr="00D56AF5">
        <w:rPr>
          <w:rStyle w:val="FootnoteReference"/>
          <w:rFonts w:ascii="Garamond" w:hAnsi="Garamond"/>
          <w:sz w:val="24"/>
          <w:szCs w:val="24"/>
          <w:lang w:val="en-US"/>
        </w:rPr>
        <w:footnoteReference w:id="192"/>
      </w:r>
      <w:r w:rsidR="00A262A5" w:rsidRPr="00D56AF5">
        <w:rPr>
          <w:rFonts w:ascii="Garamond" w:hAnsi="Garamond"/>
          <w:sz w:val="24"/>
          <w:szCs w:val="24"/>
          <w:lang w:val="en-US"/>
        </w:rPr>
        <w:t xml:space="preserve"> Governments in Africa, which did not come to power democratically, </w:t>
      </w:r>
      <w:r w:rsidR="00A262A5" w:rsidRPr="00D56AF5">
        <w:rPr>
          <w:rFonts w:ascii="Garamond" w:hAnsi="Garamond"/>
          <w:sz w:val="24"/>
          <w:szCs w:val="24"/>
          <w:lang w:val="en-US"/>
        </w:rPr>
        <w:lastRenderedPageBreak/>
        <w:t>have received recognition from the AU.</w:t>
      </w:r>
      <w:r w:rsidR="00A262A5" w:rsidRPr="00D56AF5">
        <w:rPr>
          <w:rFonts w:ascii="Garamond" w:hAnsi="Garamond"/>
          <w:sz w:val="24"/>
          <w:szCs w:val="24"/>
          <w:vertAlign w:val="superscript"/>
          <w:lang w:val="en-US"/>
        </w:rPr>
        <w:footnoteReference w:id="193"/>
      </w:r>
      <w:r w:rsidR="00A262A5" w:rsidRPr="00D56AF5">
        <w:rPr>
          <w:rFonts w:ascii="Garamond" w:hAnsi="Garamond"/>
          <w:sz w:val="24"/>
          <w:szCs w:val="24"/>
          <w:lang w:val="en-US"/>
        </w:rPr>
        <w:t xml:space="preserve"> “Putschist” regimes in Pakistan, Togo, Ivory Coast and Nigeria have been accorded recognition </w:t>
      </w:r>
      <w:r w:rsidR="00075923" w:rsidRPr="00D56AF5">
        <w:rPr>
          <w:rFonts w:ascii="Garamond" w:hAnsi="Garamond"/>
          <w:sz w:val="24"/>
          <w:szCs w:val="24"/>
          <w:lang w:val="en-US"/>
        </w:rPr>
        <w:t xml:space="preserve">pursuant to </w:t>
      </w:r>
      <w:r w:rsidR="00A262A5" w:rsidRPr="00D56AF5">
        <w:rPr>
          <w:rFonts w:ascii="Garamond" w:hAnsi="Garamond"/>
          <w:sz w:val="24"/>
          <w:szCs w:val="24"/>
          <w:lang w:val="en-US"/>
        </w:rPr>
        <w:t>professed commitment</w:t>
      </w:r>
      <w:r w:rsidR="00075923" w:rsidRPr="00D56AF5">
        <w:rPr>
          <w:rFonts w:ascii="Garamond" w:hAnsi="Garamond"/>
          <w:sz w:val="24"/>
          <w:szCs w:val="24"/>
          <w:lang w:val="en-US"/>
        </w:rPr>
        <w:t>s</w:t>
      </w:r>
      <w:r w:rsidR="00A262A5" w:rsidRPr="00D56AF5">
        <w:rPr>
          <w:rFonts w:ascii="Garamond" w:hAnsi="Garamond"/>
          <w:sz w:val="24"/>
          <w:szCs w:val="24"/>
          <w:lang w:val="en-US"/>
        </w:rPr>
        <w:t xml:space="preserve"> to democracy.</w:t>
      </w:r>
      <w:r w:rsidR="00A262A5" w:rsidRPr="00D56AF5">
        <w:rPr>
          <w:rStyle w:val="FootnoteReference"/>
          <w:rFonts w:ascii="Garamond" w:hAnsi="Garamond"/>
          <w:sz w:val="24"/>
          <w:szCs w:val="24"/>
          <w:lang w:val="en-US"/>
        </w:rPr>
        <w:footnoteReference w:id="194"/>
      </w:r>
    </w:p>
    <w:p w14:paraId="4F926CD8" w14:textId="20CAC860"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Additionally, a post-conflict negotiated settlement may lead to the installation of a government that has neither effective control nor democratic </w:t>
      </w:r>
      <w:proofErr w:type="gramStart"/>
      <w:r w:rsidRPr="00D56AF5">
        <w:rPr>
          <w:rFonts w:ascii="Garamond" w:hAnsi="Garamond"/>
          <w:sz w:val="24"/>
          <w:szCs w:val="24"/>
          <w:lang w:val="en-US"/>
        </w:rPr>
        <w:t>origin, but</w:t>
      </w:r>
      <w:proofErr w:type="gramEnd"/>
      <w:r w:rsidRPr="00D56AF5">
        <w:rPr>
          <w:rFonts w:ascii="Garamond" w:hAnsi="Garamond"/>
          <w:sz w:val="24"/>
          <w:szCs w:val="24"/>
          <w:lang w:val="en-US"/>
        </w:rPr>
        <w:t xml:space="preserve"> is still recognized as the </w:t>
      </w:r>
      <w:r w:rsidRPr="00D56AF5">
        <w:rPr>
          <w:rFonts w:ascii="Garamond" w:hAnsi="Garamond"/>
          <w:i/>
          <w:sz w:val="24"/>
          <w:szCs w:val="24"/>
          <w:lang w:val="en-US"/>
        </w:rPr>
        <w:t>de jure</w:t>
      </w:r>
      <w:r w:rsidRPr="00D56AF5">
        <w:rPr>
          <w:rFonts w:ascii="Garamond" w:hAnsi="Garamond"/>
          <w:sz w:val="24"/>
          <w:szCs w:val="24"/>
          <w:lang w:val="en-US"/>
        </w:rPr>
        <w:t xml:space="preserve"> authority.</w:t>
      </w:r>
      <w:r w:rsidRPr="00D56AF5">
        <w:rPr>
          <w:rFonts w:ascii="Garamond" w:hAnsi="Garamond"/>
          <w:sz w:val="24"/>
          <w:szCs w:val="24"/>
          <w:vertAlign w:val="superscript"/>
          <w:lang w:val="en-US"/>
        </w:rPr>
        <w:footnoteReference w:id="195"/>
      </w:r>
      <w:r w:rsidRPr="00D56AF5">
        <w:rPr>
          <w:rFonts w:ascii="Garamond" w:hAnsi="Garamond"/>
          <w:sz w:val="24"/>
          <w:szCs w:val="24"/>
          <w:lang w:val="en-US"/>
        </w:rPr>
        <w:t xml:space="preserve"> In Yemen (2015), the organ leading the transitional process accrued recognition and support because of its representative character, despite lacking effective control.</w:t>
      </w:r>
      <w:r w:rsidRPr="00D56AF5">
        <w:rPr>
          <w:rFonts w:ascii="Garamond" w:hAnsi="Garamond"/>
          <w:sz w:val="24"/>
          <w:szCs w:val="24"/>
          <w:vertAlign w:val="superscript"/>
          <w:lang w:val="en-US"/>
        </w:rPr>
        <w:footnoteReference w:id="196"/>
      </w:r>
    </w:p>
    <w:p w14:paraId="212DF0F2" w14:textId="4F929658" w:rsidR="00B00A8B"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These situations track more finessed distinctions in legitimacy. The democratic origin of a government or its </w:t>
      </w:r>
      <w:r w:rsidR="00A259ED" w:rsidRPr="00D56AF5">
        <w:rPr>
          <w:rFonts w:ascii="Garamond" w:hAnsi="Garamond"/>
          <w:sz w:val="24"/>
          <w:szCs w:val="24"/>
          <w:lang w:val="en-US"/>
        </w:rPr>
        <w:t>demonstrated</w:t>
      </w:r>
      <w:r w:rsidRPr="00D56AF5">
        <w:rPr>
          <w:rFonts w:ascii="Garamond" w:hAnsi="Garamond"/>
          <w:sz w:val="24"/>
          <w:szCs w:val="24"/>
          <w:lang w:val="en-US"/>
        </w:rPr>
        <w:t xml:space="preserve"> commitment to democratic processes, may be determinative in </w:t>
      </w:r>
      <w:r w:rsidRPr="00D56AF5">
        <w:rPr>
          <w:rFonts w:ascii="Garamond" w:hAnsi="Garamond"/>
          <w:i/>
          <w:iCs/>
          <w:sz w:val="24"/>
          <w:szCs w:val="24"/>
          <w:lang w:val="en-US"/>
        </w:rPr>
        <w:t>qualifying</w:t>
      </w:r>
      <w:r w:rsidRPr="00D56AF5">
        <w:rPr>
          <w:rFonts w:ascii="Garamond" w:hAnsi="Garamond"/>
          <w:sz w:val="24"/>
          <w:szCs w:val="24"/>
          <w:lang w:val="en-US"/>
        </w:rPr>
        <w:t xml:space="preserve"> a new government for recognition (legitimacy in origin), but an abysmal record of human rights adherence might </w:t>
      </w:r>
      <w:r w:rsidRPr="00D56AF5">
        <w:rPr>
          <w:rFonts w:ascii="Garamond" w:hAnsi="Garamond"/>
          <w:i/>
          <w:iCs/>
          <w:sz w:val="24"/>
          <w:szCs w:val="24"/>
          <w:lang w:val="en-US"/>
        </w:rPr>
        <w:t xml:space="preserve">disqualify </w:t>
      </w:r>
      <w:r w:rsidRPr="00D56AF5">
        <w:rPr>
          <w:rFonts w:ascii="Garamond" w:hAnsi="Garamond"/>
          <w:sz w:val="24"/>
          <w:szCs w:val="24"/>
          <w:lang w:val="en-US"/>
        </w:rPr>
        <w:t>a democratically elected government from continued recognition (legitimacy in exercise).</w:t>
      </w:r>
      <w:r w:rsidRPr="00D56AF5">
        <w:rPr>
          <w:rFonts w:ascii="Garamond" w:hAnsi="Garamond"/>
          <w:sz w:val="24"/>
          <w:szCs w:val="24"/>
          <w:vertAlign w:val="superscript"/>
          <w:lang w:val="en-US"/>
        </w:rPr>
        <w:footnoteReference w:id="197"/>
      </w:r>
      <w:r w:rsidRPr="00D56AF5">
        <w:rPr>
          <w:rFonts w:ascii="Garamond" w:hAnsi="Garamond"/>
          <w:sz w:val="24"/>
          <w:szCs w:val="24"/>
          <w:lang w:val="en-US"/>
        </w:rPr>
        <w:t xml:space="preserve"> </w:t>
      </w:r>
    </w:p>
    <w:p w14:paraId="30577E4A" w14:textId="7BC617CC" w:rsidR="003A6AED" w:rsidRDefault="00DD51DE" w:rsidP="001340AF">
      <w:pPr>
        <w:spacing w:after="120" w:line="480" w:lineRule="auto"/>
        <w:jc w:val="both"/>
        <w:rPr>
          <w:rFonts w:ascii="Garamond" w:hAnsi="Garamond"/>
          <w:sz w:val="24"/>
          <w:szCs w:val="24"/>
          <w:lang w:val="en-US"/>
        </w:rPr>
      </w:pPr>
      <w:proofErr w:type="gramStart"/>
      <w:r>
        <w:rPr>
          <w:rFonts w:ascii="Garamond" w:hAnsi="Garamond"/>
          <w:sz w:val="24"/>
          <w:szCs w:val="24"/>
          <w:lang w:val="en-US"/>
        </w:rPr>
        <w:t>On the whole</w:t>
      </w:r>
      <w:proofErr w:type="gramEnd"/>
      <w:r>
        <w:rPr>
          <w:rFonts w:ascii="Garamond" w:hAnsi="Garamond"/>
          <w:sz w:val="24"/>
          <w:szCs w:val="24"/>
          <w:lang w:val="en-US"/>
        </w:rPr>
        <w:t xml:space="preserve">, it would seem that </w:t>
      </w:r>
      <w:r w:rsidR="003A6AED">
        <w:rPr>
          <w:rFonts w:ascii="Garamond" w:hAnsi="Garamond"/>
          <w:sz w:val="24"/>
          <w:szCs w:val="24"/>
          <w:lang w:val="en-US"/>
        </w:rPr>
        <w:t xml:space="preserve">abandoning the effective control criterion in favor of the legitimacy test </w:t>
      </w:r>
      <w:r>
        <w:rPr>
          <w:rFonts w:ascii="Garamond" w:hAnsi="Garamond"/>
          <w:sz w:val="24"/>
          <w:szCs w:val="24"/>
          <w:lang w:val="en-US"/>
        </w:rPr>
        <w:t xml:space="preserve">would exacerbate instability and indeterminacy. </w:t>
      </w:r>
      <w:r w:rsidR="00BC5DED">
        <w:rPr>
          <w:rFonts w:ascii="Garamond" w:hAnsi="Garamond"/>
          <w:sz w:val="24"/>
          <w:szCs w:val="24"/>
          <w:lang w:val="en-US"/>
        </w:rPr>
        <w:t>This would</w:t>
      </w:r>
      <w:r w:rsidR="003A6AED">
        <w:rPr>
          <w:rFonts w:ascii="Garamond" w:hAnsi="Garamond"/>
          <w:sz w:val="24"/>
          <w:szCs w:val="24"/>
          <w:lang w:val="en-US"/>
        </w:rPr>
        <w:t xml:space="preserve"> undermine international peace and security, while preventing governments with “radical differences in their cultural, political, historical, and moral commitments” from entering into agreements with each other.</w:t>
      </w:r>
      <w:r w:rsidR="003A6AED">
        <w:rPr>
          <w:rStyle w:val="FootnoteReference"/>
          <w:rFonts w:ascii="Garamond" w:hAnsi="Garamond"/>
          <w:sz w:val="24"/>
          <w:szCs w:val="24"/>
          <w:lang w:val="en-US"/>
        </w:rPr>
        <w:footnoteReference w:id="198"/>
      </w:r>
      <w:r>
        <w:rPr>
          <w:rFonts w:ascii="Garamond" w:hAnsi="Garamond"/>
          <w:sz w:val="24"/>
          <w:szCs w:val="24"/>
          <w:lang w:val="en-US"/>
        </w:rPr>
        <w:t xml:space="preserve"> Some kind of mixture </w:t>
      </w:r>
      <w:r w:rsidR="00BC5DED">
        <w:rPr>
          <w:rFonts w:ascii="Garamond" w:hAnsi="Garamond"/>
          <w:sz w:val="24"/>
          <w:szCs w:val="24"/>
          <w:lang w:val="en-US"/>
        </w:rPr>
        <w:t>would be</w:t>
      </w:r>
      <w:r>
        <w:rPr>
          <w:rFonts w:ascii="Garamond" w:hAnsi="Garamond"/>
          <w:sz w:val="24"/>
          <w:szCs w:val="24"/>
          <w:lang w:val="en-US"/>
        </w:rPr>
        <w:t xml:space="preserve"> ideal, but how can one decide the ideal outcome? The question of who should make the decision can be helpful here. </w:t>
      </w:r>
    </w:p>
    <w:p w14:paraId="5171DD83" w14:textId="7CE22280" w:rsidR="00B0699F" w:rsidRPr="004B043D" w:rsidRDefault="00A262A5" w:rsidP="00B679CD">
      <w:pPr>
        <w:pStyle w:val="Heading3"/>
        <w:numPr>
          <w:ilvl w:val="2"/>
          <w:numId w:val="35"/>
        </w:numPr>
        <w:rPr>
          <w:lang w:val="en-US"/>
        </w:rPr>
      </w:pPr>
      <w:bookmarkStart w:id="25" w:name="_Toc191740737"/>
      <w:r w:rsidRPr="00A13376">
        <w:rPr>
          <w:lang w:val="en-US"/>
        </w:rPr>
        <w:lastRenderedPageBreak/>
        <w:t>Who makes recognition decisions</w:t>
      </w:r>
      <w:bookmarkEnd w:id="25"/>
    </w:p>
    <w:p w14:paraId="6864D2AF" w14:textId="4A677E1F" w:rsidR="00D61279" w:rsidRDefault="00D61279" w:rsidP="001340AF">
      <w:pPr>
        <w:spacing w:after="120" w:line="480" w:lineRule="auto"/>
        <w:jc w:val="both"/>
        <w:rPr>
          <w:rFonts w:ascii="Garamond" w:hAnsi="Garamond"/>
          <w:sz w:val="24"/>
          <w:szCs w:val="24"/>
          <w:lang w:val="en-US"/>
        </w:rPr>
      </w:pPr>
      <w:r w:rsidRPr="00D56AF5">
        <w:rPr>
          <w:rFonts w:ascii="Garamond" w:hAnsi="Garamond"/>
          <w:sz w:val="24"/>
          <w:szCs w:val="24"/>
          <w:lang w:val="en-US"/>
        </w:rPr>
        <w:t>When regimes change, states must be cautious with how quickly they recognize new governments. Hasty recognitions of opposition forces could violate the rule of non-intervention notwithstanding the opposition’s establishment of effective control</w:t>
      </w:r>
      <w:r w:rsidR="00BC5DED">
        <w:rPr>
          <w:rFonts w:ascii="Garamond" w:hAnsi="Garamond"/>
          <w:sz w:val="24"/>
          <w:szCs w:val="24"/>
          <w:lang w:val="en-US"/>
        </w:rPr>
        <w:t>.</w:t>
      </w:r>
      <w:r w:rsidRPr="00D56AF5">
        <w:rPr>
          <w:rFonts w:ascii="Garamond" w:hAnsi="Garamond"/>
          <w:sz w:val="24"/>
          <w:szCs w:val="24"/>
          <w:vertAlign w:val="superscript"/>
          <w:lang w:val="en-US"/>
        </w:rPr>
        <w:footnoteReference w:id="199"/>
      </w:r>
      <w:r w:rsidRPr="00D56AF5">
        <w:rPr>
          <w:rFonts w:ascii="Garamond" w:hAnsi="Garamond"/>
          <w:sz w:val="24"/>
          <w:szCs w:val="24"/>
          <w:lang w:val="en-US"/>
        </w:rPr>
        <w:t xml:space="preserve"> </w:t>
      </w:r>
      <w:r w:rsidRPr="00B0699F">
        <w:rPr>
          <w:rFonts w:ascii="Garamond" w:hAnsi="Garamond"/>
          <w:sz w:val="24"/>
          <w:szCs w:val="24"/>
          <w:lang w:val="en-US"/>
        </w:rPr>
        <w:t>Recognition of governments is a sovereign prerogative</w:t>
      </w:r>
      <w:r w:rsidRPr="00B0699F">
        <w:rPr>
          <w:rStyle w:val="FootnoteReference"/>
          <w:rFonts w:ascii="Garamond" w:hAnsi="Garamond"/>
          <w:sz w:val="24"/>
          <w:szCs w:val="24"/>
          <w:lang w:val="en-US"/>
        </w:rPr>
        <w:footnoteReference w:id="200"/>
      </w:r>
      <w:r>
        <w:rPr>
          <w:rFonts w:ascii="Garamond" w:hAnsi="Garamond"/>
          <w:sz w:val="24"/>
          <w:szCs w:val="24"/>
          <w:lang w:val="en-US"/>
        </w:rPr>
        <w:t xml:space="preserve"> but </w:t>
      </w:r>
      <w:r w:rsidR="00BC5DED">
        <w:rPr>
          <w:rFonts w:ascii="Garamond" w:hAnsi="Garamond"/>
          <w:sz w:val="24"/>
          <w:szCs w:val="24"/>
          <w:lang w:val="en-US"/>
        </w:rPr>
        <w:t xml:space="preserve">cannot be legally extended </w:t>
      </w:r>
      <w:r>
        <w:rPr>
          <w:rFonts w:ascii="Garamond" w:hAnsi="Garamond"/>
          <w:sz w:val="24"/>
          <w:szCs w:val="24"/>
          <w:lang w:val="en-US"/>
        </w:rPr>
        <w:t>where the UNSC determines that the situation should not be recognized due to its illegality</w:t>
      </w:r>
      <w:r w:rsidR="00BC5DED">
        <w:rPr>
          <w:rFonts w:ascii="Garamond" w:hAnsi="Garamond"/>
          <w:sz w:val="24"/>
          <w:szCs w:val="24"/>
          <w:lang w:val="en-US"/>
        </w:rPr>
        <w:t>;</w:t>
      </w:r>
      <w:r>
        <w:rPr>
          <w:rStyle w:val="FootnoteReference"/>
          <w:rFonts w:ascii="Garamond" w:hAnsi="Garamond"/>
          <w:sz w:val="24"/>
          <w:szCs w:val="24"/>
          <w:lang w:val="en-US"/>
        </w:rPr>
        <w:footnoteReference w:id="201"/>
      </w:r>
      <w:r w:rsidR="00BC5DED">
        <w:rPr>
          <w:rFonts w:ascii="Garamond" w:hAnsi="Garamond"/>
          <w:sz w:val="24"/>
          <w:szCs w:val="24"/>
          <w:lang w:val="en-US"/>
        </w:rPr>
        <w:t xml:space="preserve"> and</w:t>
      </w:r>
      <w:r>
        <w:rPr>
          <w:rFonts w:ascii="Garamond" w:hAnsi="Garamond"/>
          <w:sz w:val="24"/>
          <w:szCs w:val="24"/>
          <w:lang w:val="en-US"/>
        </w:rPr>
        <w:t xml:space="preserve"> where the government’s recognition would amount to affirming a breach of a jus cogens norm.</w:t>
      </w:r>
      <w:r>
        <w:rPr>
          <w:rStyle w:val="FootnoteReference"/>
          <w:rFonts w:ascii="Garamond" w:hAnsi="Garamond"/>
          <w:sz w:val="24"/>
          <w:szCs w:val="24"/>
          <w:lang w:val="en-US"/>
        </w:rPr>
        <w:footnoteReference w:id="202"/>
      </w:r>
    </w:p>
    <w:p w14:paraId="2ED98C4B" w14:textId="5B1AD4D9" w:rsidR="0046052B" w:rsidRDefault="00BC5DED" w:rsidP="001340AF">
      <w:pPr>
        <w:spacing w:after="120" w:line="480" w:lineRule="auto"/>
        <w:jc w:val="both"/>
        <w:rPr>
          <w:rFonts w:ascii="Garamond" w:hAnsi="Garamond"/>
          <w:sz w:val="24"/>
          <w:szCs w:val="24"/>
          <w:lang w:val="en-US"/>
        </w:rPr>
      </w:pPr>
      <w:r>
        <w:rPr>
          <w:rFonts w:ascii="Garamond" w:hAnsi="Garamond"/>
          <w:sz w:val="24"/>
          <w:szCs w:val="24"/>
          <w:lang w:val="en-US"/>
        </w:rPr>
        <w:t xml:space="preserve">Further, a </w:t>
      </w:r>
      <w:r w:rsidR="00D61279">
        <w:rPr>
          <w:rFonts w:ascii="Garamond" w:hAnsi="Garamond"/>
          <w:sz w:val="24"/>
          <w:szCs w:val="24"/>
          <w:lang w:val="en-US"/>
        </w:rPr>
        <w:t xml:space="preserve">distinction should be made between international recognition and recognition by states. </w:t>
      </w:r>
      <w:r>
        <w:rPr>
          <w:rFonts w:ascii="Garamond" w:hAnsi="Garamond"/>
          <w:sz w:val="24"/>
          <w:szCs w:val="24"/>
          <w:lang w:val="en-US"/>
        </w:rPr>
        <w:t>Only i</w:t>
      </w:r>
      <w:r w:rsidR="00D61279">
        <w:rPr>
          <w:rFonts w:ascii="Garamond" w:hAnsi="Garamond"/>
          <w:sz w:val="24"/>
          <w:szCs w:val="24"/>
          <w:lang w:val="en-US"/>
        </w:rPr>
        <w:t>nternational r</w:t>
      </w:r>
      <w:r w:rsidR="00D61279" w:rsidRPr="00D56AF5">
        <w:rPr>
          <w:rFonts w:ascii="Garamond" w:hAnsi="Garamond"/>
          <w:sz w:val="24"/>
          <w:szCs w:val="24"/>
          <w:lang w:val="en-US"/>
        </w:rPr>
        <w:t>ecognition has constitutive effects</w:t>
      </w:r>
      <w:r w:rsidR="00D61279">
        <w:rPr>
          <w:rFonts w:ascii="Garamond" w:hAnsi="Garamond"/>
          <w:sz w:val="24"/>
          <w:szCs w:val="24"/>
          <w:lang w:val="en-US"/>
        </w:rPr>
        <w:t xml:space="preserve"> and legal consequences</w:t>
      </w:r>
      <w:r w:rsidR="00D61279" w:rsidRPr="00D56AF5">
        <w:rPr>
          <w:rFonts w:ascii="Garamond" w:hAnsi="Garamond"/>
          <w:sz w:val="24"/>
          <w:szCs w:val="24"/>
          <w:lang w:val="en-US"/>
        </w:rPr>
        <w:t xml:space="preserve">, </w:t>
      </w:r>
      <w:r>
        <w:rPr>
          <w:rFonts w:ascii="Garamond" w:hAnsi="Garamond"/>
          <w:sz w:val="24"/>
          <w:szCs w:val="24"/>
          <w:lang w:val="en-US"/>
        </w:rPr>
        <w:t xml:space="preserve">affecting </w:t>
      </w:r>
      <w:r w:rsidR="00D61279">
        <w:rPr>
          <w:rFonts w:ascii="Garamond" w:hAnsi="Garamond"/>
          <w:sz w:val="24"/>
          <w:szCs w:val="24"/>
          <w:lang w:val="en-US"/>
        </w:rPr>
        <w:t>legal rights and obligations</w:t>
      </w:r>
      <w:r>
        <w:rPr>
          <w:rFonts w:ascii="Garamond" w:hAnsi="Garamond"/>
          <w:sz w:val="24"/>
          <w:szCs w:val="24"/>
          <w:lang w:val="en-US"/>
        </w:rPr>
        <w:t>, including t</w:t>
      </w:r>
      <w:r w:rsidRPr="00D56AF5">
        <w:rPr>
          <w:rFonts w:ascii="Garamond" w:hAnsi="Garamond"/>
          <w:sz w:val="24"/>
          <w:szCs w:val="24"/>
          <w:lang w:val="en-US"/>
        </w:rPr>
        <w:t xml:space="preserve">he </w:t>
      </w:r>
      <w:r>
        <w:rPr>
          <w:rFonts w:ascii="Garamond" w:hAnsi="Garamond"/>
          <w:sz w:val="24"/>
          <w:szCs w:val="24"/>
          <w:lang w:val="en-US"/>
        </w:rPr>
        <w:t xml:space="preserve">legal permissibility of </w:t>
      </w:r>
      <w:r w:rsidRPr="00D56AF5">
        <w:rPr>
          <w:rFonts w:ascii="Garamond" w:hAnsi="Garamond"/>
          <w:sz w:val="24"/>
          <w:szCs w:val="24"/>
          <w:lang w:val="en-US"/>
        </w:rPr>
        <w:t>extend</w:t>
      </w:r>
      <w:r>
        <w:rPr>
          <w:rFonts w:ascii="Garamond" w:hAnsi="Garamond"/>
          <w:sz w:val="24"/>
          <w:szCs w:val="24"/>
          <w:lang w:val="en-US"/>
        </w:rPr>
        <w:t>ing</w:t>
      </w:r>
      <w:r w:rsidRPr="00D56AF5">
        <w:rPr>
          <w:rFonts w:ascii="Garamond" w:hAnsi="Garamond"/>
          <w:sz w:val="24"/>
          <w:szCs w:val="24"/>
          <w:lang w:val="en-US"/>
        </w:rPr>
        <w:t xml:space="preserve"> support to governments seeking intervention</w:t>
      </w:r>
      <w:r w:rsidR="00D61279" w:rsidRPr="00D56AF5">
        <w:rPr>
          <w:rFonts w:ascii="Garamond" w:hAnsi="Garamond"/>
          <w:sz w:val="24"/>
          <w:szCs w:val="24"/>
          <w:lang w:val="en-US"/>
        </w:rPr>
        <w:t xml:space="preserve">. </w:t>
      </w:r>
      <w:r>
        <w:rPr>
          <w:rFonts w:ascii="Garamond" w:hAnsi="Garamond"/>
          <w:sz w:val="24"/>
          <w:szCs w:val="24"/>
          <w:lang w:val="en-US"/>
        </w:rPr>
        <w:t>R</w:t>
      </w:r>
      <w:r w:rsidR="00D61279">
        <w:rPr>
          <w:rFonts w:ascii="Garamond" w:hAnsi="Garamond"/>
          <w:sz w:val="24"/>
          <w:szCs w:val="24"/>
          <w:lang w:val="en-US"/>
        </w:rPr>
        <w:t xml:space="preserve">ecognition </w:t>
      </w:r>
      <w:r>
        <w:rPr>
          <w:rFonts w:ascii="Garamond" w:hAnsi="Garamond"/>
          <w:sz w:val="24"/>
          <w:szCs w:val="24"/>
          <w:lang w:val="en-US"/>
        </w:rPr>
        <w:t xml:space="preserve">accorded by an individual state </w:t>
      </w:r>
      <w:r w:rsidR="00D61279">
        <w:rPr>
          <w:rFonts w:ascii="Garamond" w:hAnsi="Garamond"/>
          <w:sz w:val="24"/>
          <w:szCs w:val="24"/>
          <w:lang w:val="en-US"/>
        </w:rPr>
        <w:t>“cannot of itself be determinative of legal status”.</w:t>
      </w:r>
      <w:r w:rsidR="00D61279">
        <w:rPr>
          <w:rStyle w:val="FootnoteReference"/>
          <w:rFonts w:ascii="Garamond" w:hAnsi="Garamond"/>
          <w:sz w:val="24"/>
          <w:szCs w:val="24"/>
          <w:lang w:val="en-US"/>
        </w:rPr>
        <w:footnoteReference w:id="203"/>
      </w:r>
      <w:r w:rsidR="00D61279">
        <w:rPr>
          <w:rFonts w:ascii="Garamond" w:hAnsi="Garamond"/>
          <w:sz w:val="24"/>
          <w:szCs w:val="24"/>
          <w:lang w:val="en-US"/>
        </w:rPr>
        <w:t xml:space="preserve"> </w:t>
      </w:r>
    </w:p>
    <w:p w14:paraId="33C291A8" w14:textId="7D425D55" w:rsidR="00B053A9" w:rsidRDefault="006B3FA9" w:rsidP="001340AF">
      <w:pPr>
        <w:spacing w:after="120" w:line="480" w:lineRule="auto"/>
        <w:jc w:val="both"/>
        <w:rPr>
          <w:rFonts w:ascii="Garamond" w:hAnsi="Garamond"/>
          <w:sz w:val="24"/>
          <w:szCs w:val="24"/>
          <w:lang w:val="en-US"/>
        </w:rPr>
      </w:pPr>
      <w:r>
        <w:rPr>
          <w:rFonts w:ascii="Garamond" w:hAnsi="Garamond"/>
          <w:sz w:val="24"/>
          <w:szCs w:val="24"/>
          <w:lang w:val="en-US"/>
        </w:rPr>
        <w:t xml:space="preserve">But there is no </w:t>
      </w:r>
      <w:r w:rsidR="00B053A9">
        <w:rPr>
          <w:rFonts w:ascii="Garamond" w:hAnsi="Garamond"/>
          <w:sz w:val="24"/>
          <w:szCs w:val="24"/>
          <w:lang w:val="en-US"/>
        </w:rPr>
        <w:t xml:space="preserve">singular </w:t>
      </w:r>
      <w:r w:rsidR="00B75F64">
        <w:rPr>
          <w:rFonts w:ascii="Garamond" w:hAnsi="Garamond"/>
          <w:sz w:val="24"/>
          <w:szCs w:val="24"/>
          <w:lang w:val="en-US"/>
        </w:rPr>
        <w:t xml:space="preserve">mechanism to make collective international recognition decisions. </w:t>
      </w:r>
      <w:r>
        <w:rPr>
          <w:rFonts w:ascii="Garamond" w:hAnsi="Garamond"/>
          <w:sz w:val="24"/>
          <w:szCs w:val="24"/>
          <w:lang w:val="en-US"/>
        </w:rPr>
        <w:t>While r</w:t>
      </w:r>
      <w:r w:rsidR="00B75F64">
        <w:rPr>
          <w:rFonts w:ascii="Garamond" w:hAnsi="Garamond"/>
          <w:sz w:val="24"/>
          <w:szCs w:val="24"/>
          <w:lang w:val="en-US"/>
        </w:rPr>
        <w:t xml:space="preserve">egional organizations like the OAU and ECOWAS, and the UNGA Credentials Committee have played </w:t>
      </w:r>
      <w:r w:rsidR="0046052B">
        <w:rPr>
          <w:rFonts w:ascii="Garamond" w:hAnsi="Garamond"/>
          <w:sz w:val="24"/>
          <w:szCs w:val="24"/>
          <w:lang w:val="en-US"/>
        </w:rPr>
        <w:t>a role in recognition,</w:t>
      </w:r>
      <w:r w:rsidR="00B75F64">
        <w:rPr>
          <w:rStyle w:val="FootnoteReference"/>
          <w:rFonts w:ascii="Garamond" w:hAnsi="Garamond"/>
          <w:sz w:val="24"/>
          <w:szCs w:val="24"/>
          <w:lang w:val="en-US"/>
        </w:rPr>
        <w:footnoteReference w:id="204"/>
      </w:r>
      <w:r w:rsidR="0046052B">
        <w:rPr>
          <w:rFonts w:ascii="Garamond" w:hAnsi="Garamond"/>
          <w:sz w:val="24"/>
          <w:szCs w:val="24"/>
          <w:lang w:val="en-US"/>
        </w:rPr>
        <w:t xml:space="preserve"> </w:t>
      </w:r>
      <w:r>
        <w:rPr>
          <w:rFonts w:ascii="Garamond" w:hAnsi="Garamond"/>
          <w:sz w:val="24"/>
          <w:szCs w:val="24"/>
          <w:lang w:val="en-US"/>
        </w:rPr>
        <w:t xml:space="preserve">scholars still assess </w:t>
      </w:r>
      <w:r w:rsidR="0046052B">
        <w:rPr>
          <w:rFonts w:ascii="Garamond" w:hAnsi="Garamond"/>
          <w:sz w:val="24"/>
          <w:szCs w:val="24"/>
          <w:lang w:val="en-US"/>
        </w:rPr>
        <w:t>penumbral cases</w:t>
      </w:r>
      <w:r>
        <w:rPr>
          <w:rFonts w:ascii="Garamond" w:hAnsi="Garamond"/>
          <w:sz w:val="24"/>
          <w:szCs w:val="24"/>
          <w:lang w:val="en-US"/>
        </w:rPr>
        <w:t xml:space="preserve"> of intervention</w:t>
      </w:r>
      <w:r w:rsidR="00911071">
        <w:rPr>
          <w:rFonts w:ascii="Garamond" w:hAnsi="Garamond"/>
          <w:sz w:val="24"/>
          <w:szCs w:val="24"/>
          <w:lang w:val="en-US"/>
        </w:rPr>
        <w:t>s grounded in such recognitions</w:t>
      </w:r>
      <w:r>
        <w:rPr>
          <w:rFonts w:ascii="Garamond" w:hAnsi="Garamond"/>
          <w:sz w:val="24"/>
          <w:szCs w:val="24"/>
          <w:lang w:val="en-US"/>
        </w:rPr>
        <w:t xml:space="preserve"> separately</w:t>
      </w:r>
      <w:r w:rsidR="00911071">
        <w:rPr>
          <w:rFonts w:ascii="Garamond" w:hAnsi="Garamond"/>
          <w:sz w:val="24"/>
          <w:szCs w:val="24"/>
          <w:lang w:val="en-US"/>
        </w:rPr>
        <w:t>,</w:t>
      </w:r>
      <w:r>
        <w:rPr>
          <w:rFonts w:ascii="Garamond" w:hAnsi="Garamond"/>
          <w:sz w:val="24"/>
          <w:szCs w:val="24"/>
          <w:lang w:val="en-US"/>
        </w:rPr>
        <w:t xml:space="preserve"> and on</w:t>
      </w:r>
      <w:r w:rsidR="0046052B">
        <w:rPr>
          <w:rFonts w:ascii="Garamond" w:hAnsi="Garamond"/>
          <w:sz w:val="24"/>
          <w:szCs w:val="24"/>
          <w:lang w:val="en-US"/>
        </w:rPr>
        <w:t xml:space="preserve"> traditional legal grounds. </w:t>
      </w:r>
      <w:r w:rsidR="00B75F64">
        <w:rPr>
          <w:rFonts w:ascii="Garamond" w:hAnsi="Garamond"/>
          <w:sz w:val="24"/>
          <w:szCs w:val="24"/>
          <w:lang w:val="en-US"/>
        </w:rPr>
        <w:t xml:space="preserve"> </w:t>
      </w:r>
    </w:p>
    <w:p w14:paraId="46328CCB" w14:textId="59029316" w:rsidR="00C272DB" w:rsidRDefault="00B75F64" w:rsidP="001340AF">
      <w:pPr>
        <w:spacing w:after="120" w:line="480" w:lineRule="auto"/>
        <w:jc w:val="both"/>
        <w:rPr>
          <w:rFonts w:ascii="Garamond" w:hAnsi="Garamond"/>
          <w:sz w:val="24"/>
          <w:szCs w:val="24"/>
          <w:lang w:val="en-US"/>
        </w:rPr>
      </w:pPr>
      <w:r>
        <w:rPr>
          <w:rFonts w:ascii="Garamond" w:hAnsi="Garamond"/>
          <w:sz w:val="24"/>
          <w:szCs w:val="24"/>
          <w:lang w:val="en-US"/>
        </w:rPr>
        <w:t xml:space="preserve">For example, </w:t>
      </w:r>
      <w:r w:rsidR="00EC65D8" w:rsidRPr="00EC65D8">
        <w:rPr>
          <w:rFonts w:ascii="Garamond" w:hAnsi="Garamond"/>
          <w:sz w:val="24"/>
          <w:szCs w:val="24"/>
          <w:lang w:val="en-US"/>
        </w:rPr>
        <w:t>in 2017, ECOWAS led an operation in The Gambia</w:t>
      </w:r>
      <w:r w:rsidR="00E72E5A">
        <w:rPr>
          <w:rFonts w:ascii="Garamond" w:hAnsi="Garamond"/>
          <w:sz w:val="24"/>
          <w:szCs w:val="24"/>
          <w:lang w:val="en-US"/>
        </w:rPr>
        <w:t xml:space="preserve"> on the invitation of election-winner</w:t>
      </w:r>
      <w:r w:rsidR="00EC65D8" w:rsidRPr="00EC65D8">
        <w:rPr>
          <w:rFonts w:ascii="Garamond" w:hAnsi="Garamond"/>
          <w:sz w:val="24"/>
          <w:szCs w:val="24"/>
          <w:lang w:val="en-US"/>
        </w:rPr>
        <w:t xml:space="preserve"> Adama Barrow, when his predecessor Yahya Jammel, refused to concede </w:t>
      </w:r>
      <w:r w:rsidR="00E72E5A">
        <w:rPr>
          <w:rFonts w:ascii="Garamond" w:hAnsi="Garamond"/>
          <w:sz w:val="24"/>
          <w:szCs w:val="24"/>
          <w:lang w:val="en-US"/>
        </w:rPr>
        <w:t>the loss of</w:t>
      </w:r>
      <w:r w:rsidR="00EC65D8" w:rsidRPr="00EC65D8">
        <w:rPr>
          <w:rFonts w:ascii="Garamond" w:hAnsi="Garamond"/>
          <w:sz w:val="24"/>
          <w:szCs w:val="24"/>
          <w:lang w:val="en-US"/>
        </w:rPr>
        <w:t xml:space="preserve"> national elections.</w:t>
      </w:r>
      <w:r>
        <w:rPr>
          <w:rFonts w:ascii="Garamond" w:hAnsi="Garamond"/>
          <w:sz w:val="24"/>
          <w:szCs w:val="24"/>
          <w:lang w:val="en-US"/>
        </w:rPr>
        <w:t xml:space="preserve"> </w:t>
      </w:r>
      <w:r w:rsidR="00E72E5A">
        <w:rPr>
          <w:rFonts w:ascii="Garamond" w:hAnsi="Garamond"/>
          <w:sz w:val="24"/>
          <w:szCs w:val="24"/>
          <w:lang w:val="en-US"/>
        </w:rPr>
        <w:t>Although the AU and ECOWAS both threatened intervention on grounds of enforcing the will of the people as expressed in the election results, the legal status of such threats remain</w:t>
      </w:r>
      <w:r w:rsidR="00C272DB">
        <w:rPr>
          <w:rFonts w:ascii="Garamond" w:hAnsi="Garamond"/>
          <w:sz w:val="24"/>
          <w:szCs w:val="24"/>
          <w:lang w:val="en-US"/>
        </w:rPr>
        <w:t>ed</w:t>
      </w:r>
      <w:r w:rsidR="00E72E5A">
        <w:rPr>
          <w:rFonts w:ascii="Garamond" w:hAnsi="Garamond"/>
          <w:sz w:val="24"/>
          <w:szCs w:val="24"/>
          <w:lang w:val="en-US"/>
        </w:rPr>
        <w:t xml:space="preserve"> questionabl</w:t>
      </w:r>
      <w:r w:rsidR="00C272DB">
        <w:rPr>
          <w:rFonts w:ascii="Garamond" w:hAnsi="Garamond"/>
          <w:sz w:val="24"/>
          <w:szCs w:val="24"/>
          <w:lang w:val="en-US"/>
        </w:rPr>
        <w:t xml:space="preserve">e </w:t>
      </w:r>
      <w:r w:rsidR="00E72E5A">
        <w:rPr>
          <w:rFonts w:ascii="Garamond" w:hAnsi="Garamond"/>
          <w:sz w:val="24"/>
          <w:szCs w:val="24"/>
          <w:lang w:val="en-US"/>
        </w:rPr>
        <w:t xml:space="preserve">because Barrow had not yet entered office when he extended the invitation, </w:t>
      </w:r>
      <w:r w:rsidR="00E72E5A">
        <w:rPr>
          <w:rFonts w:ascii="Garamond" w:hAnsi="Garamond"/>
          <w:sz w:val="24"/>
          <w:szCs w:val="24"/>
          <w:lang w:val="en-US"/>
        </w:rPr>
        <w:lastRenderedPageBreak/>
        <w:t>and the UNSC had not authorized action under chapter VII.</w:t>
      </w:r>
      <w:r w:rsidR="00E72E5A">
        <w:rPr>
          <w:rStyle w:val="FootnoteReference"/>
          <w:rFonts w:ascii="Garamond" w:hAnsi="Garamond"/>
          <w:sz w:val="24"/>
          <w:szCs w:val="24"/>
          <w:lang w:val="en-US"/>
        </w:rPr>
        <w:footnoteReference w:id="205"/>
      </w:r>
      <w:r w:rsidR="00E72E5A">
        <w:rPr>
          <w:rFonts w:ascii="Garamond" w:hAnsi="Garamond"/>
          <w:sz w:val="24"/>
          <w:szCs w:val="24"/>
          <w:lang w:val="en-US"/>
        </w:rPr>
        <w:t xml:space="preserve"> </w:t>
      </w:r>
      <w:r w:rsidR="00C272DB">
        <w:rPr>
          <w:rFonts w:ascii="Garamond" w:hAnsi="Garamond"/>
          <w:sz w:val="24"/>
          <w:szCs w:val="24"/>
          <w:lang w:val="en-US"/>
        </w:rPr>
        <w:t xml:space="preserve">Nevertheless, the UNSC welcomed the </w:t>
      </w:r>
      <w:r w:rsidR="00C272DB" w:rsidRPr="00C272DB">
        <w:rPr>
          <w:rFonts w:ascii="Garamond" w:hAnsi="Garamond"/>
          <w:i/>
          <w:iCs/>
          <w:sz w:val="24"/>
          <w:szCs w:val="24"/>
          <w:lang w:val="en-US"/>
        </w:rPr>
        <w:t>recognition</w:t>
      </w:r>
      <w:r w:rsidR="00C272DB">
        <w:rPr>
          <w:rFonts w:ascii="Garamond" w:hAnsi="Garamond"/>
          <w:sz w:val="24"/>
          <w:szCs w:val="24"/>
          <w:lang w:val="en-US"/>
        </w:rPr>
        <w:t xml:space="preserve"> decisions of the AU and ECOWAS.</w:t>
      </w:r>
      <w:r w:rsidR="00C272DB">
        <w:rPr>
          <w:rStyle w:val="FootnoteReference"/>
          <w:rFonts w:ascii="Garamond" w:hAnsi="Garamond"/>
          <w:sz w:val="24"/>
          <w:szCs w:val="24"/>
          <w:lang w:val="en-US"/>
        </w:rPr>
        <w:footnoteReference w:id="206"/>
      </w:r>
      <w:r w:rsidR="00C272DB">
        <w:rPr>
          <w:rFonts w:ascii="Garamond" w:hAnsi="Garamond"/>
          <w:sz w:val="24"/>
          <w:szCs w:val="24"/>
          <w:lang w:val="en-US"/>
        </w:rPr>
        <w:t xml:space="preserve"> Therefore, it would seem that recognition decisions do have more legitimacy when accorded multilaterally. </w:t>
      </w:r>
    </w:p>
    <w:p w14:paraId="539E76BD" w14:textId="2BEAE45D" w:rsidR="00A262A5" w:rsidRPr="00D56AF5" w:rsidRDefault="00C272DB" w:rsidP="001340AF">
      <w:pPr>
        <w:spacing w:after="120" w:line="480" w:lineRule="auto"/>
        <w:jc w:val="both"/>
        <w:rPr>
          <w:rFonts w:ascii="Garamond" w:hAnsi="Garamond"/>
          <w:sz w:val="24"/>
          <w:szCs w:val="24"/>
          <w:lang w:val="en-US"/>
        </w:rPr>
      </w:pPr>
      <w:r>
        <w:rPr>
          <w:rFonts w:ascii="Garamond" w:hAnsi="Garamond"/>
          <w:sz w:val="24"/>
          <w:szCs w:val="24"/>
          <w:lang w:val="en-US"/>
        </w:rPr>
        <w:t xml:space="preserve">From the preceding discussions, </w:t>
      </w:r>
      <w:proofErr w:type="gramStart"/>
      <w:r>
        <w:rPr>
          <w:rFonts w:ascii="Garamond" w:hAnsi="Garamond"/>
          <w:sz w:val="24"/>
          <w:szCs w:val="24"/>
          <w:lang w:val="en-US"/>
        </w:rPr>
        <w:t>it is clear that the</w:t>
      </w:r>
      <w:proofErr w:type="gramEnd"/>
      <w:r>
        <w:rPr>
          <w:rFonts w:ascii="Garamond" w:hAnsi="Garamond"/>
          <w:sz w:val="24"/>
          <w:szCs w:val="24"/>
          <w:lang w:val="en-US"/>
        </w:rPr>
        <w:t xml:space="preserve"> </w:t>
      </w:r>
      <w:r w:rsidR="00A262A5" w:rsidRPr="00D56AF5">
        <w:rPr>
          <w:rFonts w:ascii="Garamond" w:hAnsi="Garamond"/>
          <w:sz w:val="24"/>
          <w:szCs w:val="24"/>
          <w:lang w:val="en-US"/>
        </w:rPr>
        <w:t xml:space="preserve">doctrine of intervention by invitation </w:t>
      </w:r>
      <w:r w:rsidR="00923096" w:rsidRPr="00D56AF5">
        <w:rPr>
          <w:rFonts w:ascii="Garamond" w:hAnsi="Garamond"/>
          <w:sz w:val="24"/>
          <w:szCs w:val="24"/>
          <w:lang w:val="en-US"/>
        </w:rPr>
        <w:t xml:space="preserve">presumes that </w:t>
      </w:r>
      <w:r w:rsidR="0052297F" w:rsidRPr="00D56AF5">
        <w:rPr>
          <w:rFonts w:ascii="Garamond" w:hAnsi="Garamond"/>
          <w:sz w:val="24"/>
          <w:szCs w:val="24"/>
          <w:lang w:val="en-US"/>
        </w:rPr>
        <w:t>self-determination</w:t>
      </w:r>
      <w:r w:rsidR="00C624F4">
        <w:rPr>
          <w:rFonts w:ascii="Garamond" w:hAnsi="Garamond"/>
          <w:sz w:val="24"/>
          <w:szCs w:val="24"/>
          <w:lang w:val="en-US"/>
        </w:rPr>
        <w:t>,</w:t>
      </w:r>
      <w:r w:rsidR="0052297F" w:rsidRPr="00D56AF5">
        <w:rPr>
          <w:rFonts w:ascii="Garamond" w:hAnsi="Garamond"/>
          <w:sz w:val="24"/>
          <w:szCs w:val="24"/>
          <w:lang w:val="en-US"/>
        </w:rPr>
        <w:t xml:space="preserve"> popular sovereignty</w:t>
      </w:r>
      <w:r w:rsidR="00C624F4">
        <w:rPr>
          <w:rFonts w:ascii="Garamond" w:hAnsi="Garamond"/>
          <w:sz w:val="24"/>
          <w:szCs w:val="24"/>
          <w:lang w:val="en-US"/>
        </w:rPr>
        <w:t>, and subsidiarity</w:t>
      </w:r>
      <w:r w:rsidR="0052297F" w:rsidRPr="00D56AF5">
        <w:rPr>
          <w:rFonts w:ascii="Garamond" w:hAnsi="Garamond"/>
          <w:sz w:val="24"/>
          <w:szCs w:val="24"/>
          <w:lang w:val="en-US"/>
        </w:rPr>
        <w:t xml:space="preserve"> are best protected by </w:t>
      </w:r>
      <w:r w:rsidR="00A262A5" w:rsidRPr="00D56AF5">
        <w:rPr>
          <w:rFonts w:ascii="Garamond" w:hAnsi="Garamond"/>
          <w:sz w:val="24"/>
          <w:szCs w:val="24"/>
          <w:lang w:val="en-US"/>
        </w:rPr>
        <w:t xml:space="preserve">the state’s sovereignty. In this context, it may seem counterintuitive that </w:t>
      </w:r>
      <w:r>
        <w:rPr>
          <w:rFonts w:ascii="Garamond" w:hAnsi="Garamond"/>
          <w:sz w:val="24"/>
          <w:szCs w:val="24"/>
          <w:lang w:val="en-US"/>
        </w:rPr>
        <w:t xml:space="preserve">while </w:t>
      </w:r>
      <w:r w:rsidR="00A262A5" w:rsidRPr="00D56AF5">
        <w:rPr>
          <w:rFonts w:ascii="Garamond" w:hAnsi="Garamond"/>
          <w:sz w:val="24"/>
          <w:szCs w:val="24"/>
          <w:lang w:val="en-US"/>
        </w:rPr>
        <w:t xml:space="preserve">invitations can only be issued by legitimate state representatives, yet the question of who counts as legitimate is a decision </w:t>
      </w:r>
      <w:r w:rsidR="00C60E53">
        <w:rPr>
          <w:rFonts w:ascii="Garamond" w:hAnsi="Garamond"/>
          <w:sz w:val="24"/>
          <w:szCs w:val="24"/>
          <w:lang w:val="en-US"/>
        </w:rPr>
        <w:t xml:space="preserve">left to </w:t>
      </w:r>
      <w:r w:rsidR="00A262A5" w:rsidRPr="00D56AF5">
        <w:rPr>
          <w:rFonts w:ascii="Garamond" w:hAnsi="Garamond"/>
          <w:sz w:val="24"/>
          <w:szCs w:val="24"/>
          <w:lang w:val="en-US"/>
        </w:rPr>
        <w:t xml:space="preserve">the international community. But </w:t>
      </w:r>
      <w:r w:rsidR="006C2662">
        <w:rPr>
          <w:rFonts w:ascii="Garamond" w:hAnsi="Garamond"/>
          <w:sz w:val="24"/>
          <w:szCs w:val="24"/>
          <w:lang w:val="en-US"/>
        </w:rPr>
        <w:t>e</w:t>
      </w:r>
      <w:r w:rsidR="00A262A5" w:rsidRPr="00D56AF5">
        <w:rPr>
          <w:rFonts w:ascii="Garamond" w:hAnsi="Garamond"/>
          <w:sz w:val="24"/>
          <w:szCs w:val="24"/>
          <w:lang w:val="en-US"/>
        </w:rPr>
        <w:t>xternal sovereignty can only be exercised on behalf of the state, by government</w:t>
      </w:r>
      <w:r w:rsidR="00911071">
        <w:rPr>
          <w:rFonts w:ascii="Garamond" w:hAnsi="Garamond"/>
          <w:sz w:val="24"/>
          <w:szCs w:val="24"/>
          <w:lang w:val="en-US"/>
        </w:rPr>
        <w:t xml:space="preserve">s </w:t>
      </w:r>
      <w:r w:rsidR="00A262A5" w:rsidRPr="00D56AF5">
        <w:rPr>
          <w:rFonts w:ascii="Garamond" w:hAnsi="Garamond"/>
          <w:sz w:val="24"/>
          <w:szCs w:val="24"/>
          <w:lang w:val="en-US"/>
        </w:rPr>
        <w:t xml:space="preserve">that other states are willing to engage with. </w:t>
      </w:r>
      <w:r w:rsidR="00911071">
        <w:rPr>
          <w:rFonts w:ascii="Garamond" w:hAnsi="Garamond"/>
          <w:sz w:val="24"/>
          <w:szCs w:val="24"/>
          <w:lang w:val="en-US"/>
        </w:rPr>
        <w:t>R</w:t>
      </w:r>
      <w:r w:rsidR="00C60E53">
        <w:rPr>
          <w:rFonts w:ascii="Garamond" w:hAnsi="Garamond"/>
          <w:sz w:val="24"/>
          <w:szCs w:val="24"/>
          <w:lang w:val="en-US"/>
        </w:rPr>
        <w:t>ecognition</w:t>
      </w:r>
      <w:r w:rsidR="00A262A5" w:rsidRPr="00D56AF5">
        <w:rPr>
          <w:rFonts w:ascii="Garamond" w:hAnsi="Garamond"/>
          <w:sz w:val="24"/>
          <w:szCs w:val="24"/>
          <w:lang w:val="en-US"/>
        </w:rPr>
        <w:t xml:space="preserve"> by other international actors is </w:t>
      </w:r>
      <w:r w:rsidR="00C60E53">
        <w:rPr>
          <w:rFonts w:ascii="Garamond" w:hAnsi="Garamond"/>
          <w:sz w:val="24"/>
          <w:szCs w:val="24"/>
          <w:lang w:val="en-US"/>
        </w:rPr>
        <w:t xml:space="preserve">thus </w:t>
      </w:r>
      <w:r w:rsidR="00A262A5" w:rsidRPr="00D56AF5">
        <w:rPr>
          <w:rFonts w:ascii="Garamond" w:hAnsi="Garamond"/>
          <w:sz w:val="24"/>
          <w:szCs w:val="24"/>
          <w:lang w:val="en-US"/>
        </w:rPr>
        <w:t xml:space="preserve">indispensable to the exercise of sovereign functions. Nevertheless, </w:t>
      </w:r>
      <w:r w:rsidR="00C60E53">
        <w:rPr>
          <w:rFonts w:ascii="Garamond" w:hAnsi="Garamond"/>
          <w:sz w:val="24"/>
          <w:szCs w:val="24"/>
          <w:lang w:val="en-US"/>
        </w:rPr>
        <w:t>the institution of recognition protects</w:t>
      </w:r>
      <w:r w:rsidR="00A262A5" w:rsidRPr="00D56AF5">
        <w:rPr>
          <w:rFonts w:ascii="Garamond" w:hAnsi="Garamond"/>
          <w:sz w:val="24"/>
          <w:szCs w:val="24"/>
          <w:lang w:val="en-US"/>
        </w:rPr>
        <w:t xml:space="preserve"> the sovereignty of states </w:t>
      </w:r>
      <w:r w:rsidR="00C60E53">
        <w:rPr>
          <w:rFonts w:ascii="Garamond" w:hAnsi="Garamond"/>
          <w:sz w:val="24"/>
          <w:szCs w:val="24"/>
          <w:lang w:val="en-US"/>
        </w:rPr>
        <w:t xml:space="preserve">through </w:t>
      </w:r>
      <w:r w:rsidR="00A262A5" w:rsidRPr="00D56AF5">
        <w:rPr>
          <w:rFonts w:ascii="Garamond" w:hAnsi="Garamond"/>
          <w:sz w:val="24"/>
          <w:szCs w:val="24"/>
          <w:lang w:val="en-US"/>
        </w:rPr>
        <w:t xml:space="preserve">two primary moves. </w:t>
      </w:r>
    </w:p>
    <w:p w14:paraId="013E0AA7" w14:textId="0FF7EC25"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First, </w:t>
      </w:r>
      <w:r w:rsidR="006C2662">
        <w:rPr>
          <w:rFonts w:ascii="Garamond" w:hAnsi="Garamond"/>
          <w:sz w:val="24"/>
          <w:szCs w:val="24"/>
          <w:lang w:val="en-US"/>
        </w:rPr>
        <w:t xml:space="preserve">as demonstrated above, </w:t>
      </w:r>
      <w:r w:rsidRPr="00D56AF5">
        <w:rPr>
          <w:rFonts w:ascii="Garamond" w:hAnsi="Garamond"/>
          <w:sz w:val="24"/>
          <w:szCs w:val="24"/>
          <w:lang w:val="en-US"/>
        </w:rPr>
        <w:t xml:space="preserve">the considerations incorporated in recognition decisions are oriented to upholding the values underpinning sovereignty. Recognition decisions </w:t>
      </w:r>
      <w:r w:rsidR="00BB47EA" w:rsidRPr="00D56AF5">
        <w:rPr>
          <w:rFonts w:ascii="Garamond" w:hAnsi="Garamond"/>
          <w:sz w:val="24"/>
          <w:szCs w:val="24"/>
          <w:lang w:val="en-US"/>
        </w:rPr>
        <w:t>are more legitimate</w:t>
      </w:r>
      <w:r w:rsidR="00AC13EE" w:rsidRPr="00D56AF5">
        <w:rPr>
          <w:rFonts w:ascii="Garamond" w:hAnsi="Garamond"/>
          <w:sz w:val="24"/>
          <w:szCs w:val="24"/>
          <w:lang w:val="en-US"/>
        </w:rPr>
        <w:t xml:space="preserve"> </w:t>
      </w:r>
      <w:r w:rsidRPr="00D56AF5">
        <w:rPr>
          <w:rFonts w:ascii="Garamond" w:hAnsi="Garamond"/>
          <w:sz w:val="24"/>
          <w:szCs w:val="24"/>
          <w:lang w:val="en-US"/>
        </w:rPr>
        <w:t xml:space="preserve">when they are </w:t>
      </w:r>
      <w:r w:rsidR="00BB47EA" w:rsidRPr="00D56AF5">
        <w:rPr>
          <w:rFonts w:ascii="Garamond" w:hAnsi="Garamond"/>
          <w:sz w:val="24"/>
          <w:szCs w:val="24"/>
          <w:lang w:val="en-US"/>
        </w:rPr>
        <w:t>based</w:t>
      </w:r>
      <w:r w:rsidR="00911071">
        <w:rPr>
          <w:rFonts w:ascii="Garamond" w:hAnsi="Garamond"/>
          <w:sz w:val="24"/>
          <w:szCs w:val="24"/>
          <w:lang w:val="en-US"/>
        </w:rPr>
        <w:t xml:space="preserve"> on</w:t>
      </w:r>
      <w:r w:rsidRPr="00D56AF5">
        <w:rPr>
          <w:rFonts w:ascii="Garamond" w:hAnsi="Garamond"/>
          <w:sz w:val="24"/>
          <w:szCs w:val="24"/>
          <w:lang w:val="en-US"/>
        </w:rPr>
        <w:t xml:space="preserve"> </w:t>
      </w:r>
      <w:r w:rsidR="006C2662">
        <w:rPr>
          <w:rFonts w:ascii="Garamond" w:hAnsi="Garamond"/>
          <w:sz w:val="24"/>
          <w:szCs w:val="24"/>
          <w:lang w:val="en-US"/>
        </w:rPr>
        <w:t xml:space="preserve">effective control and </w:t>
      </w:r>
      <w:r w:rsidRPr="00D56AF5">
        <w:rPr>
          <w:rFonts w:ascii="Garamond" w:hAnsi="Garamond"/>
          <w:sz w:val="24"/>
          <w:szCs w:val="24"/>
          <w:lang w:val="en-US"/>
        </w:rPr>
        <w:t>multilateral endorsement</w:t>
      </w:r>
      <w:r w:rsidR="00BB47EA" w:rsidRPr="00D56AF5">
        <w:rPr>
          <w:rFonts w:ascii="Garamond" w:hAnsi="Garamond"/>
          <w:sz w:val="24"/>
          <w:szCs w:val="24"/>
          <w:lang w:val="en-US"/>
        </w:rPr>
        <w:t>s</w:t>
      </w:r>
      <w:r w:rsidRPr="00D56AF5">
        <w:rPr>
          <w:rFonts w:ascii="Garamond" w:hAnsi="Garamond"/>
          <w:sz w:val="24"/>
          <w:szCs w:val="24"/>
          <w:lang w:val="en-US"/>
        </w:rPr>
        <w:t xml:space="preserve"> of the government’s legitimacy </w:t>
      </w:r>
      <w:r w:rsidR="006C2662">
        <w:rPr>
          <w:rFonts w:ascii="Garamond" w:hAnsi="Garamond"/>
          <w:sz w:val="24"/>
          <w:szCs w:val="24"/>
          <w:lang w:val="en-US"/>
        </w:rPr>
        <w:t xml:space="preserve">which </w:t>
      </w:r>
      <w:r w:rsidR="00BB47EA" w:rsidRPr="00D56AF5">
        <w:rPr>
          <w:rFonts w:ascii="Garamond" w:hAnsi="Garamond"/>
          <w:sz w:val="24"/>
          <w:szCs w:val="24"/>
          <w:lang w:val="en-US"/>
        </w:rPr>
        <w:t xml:space="preserve">have </w:t>
      </w:r>
      <w:r w:rsidRPr="00D56AF5">
        <w:rPr>
          <w:rFonts w:ascii="Garamond" w:hAnsi="Garamond"/>
          <w:sz w:val="24"/>
          <w:szCs w:val="24"/>
          <w:lang w:val="en-US"/>
        </w:rPr>
        <w:t>factored in evidence of popular support, adherence to constitutional processes in obtaining power, and a prior compliance with human rights and other sovereign responsibilities.</w:t>
      </w:r>
      <w:r w:rsidRPr="00D56AF5">
        <w:rPr>
          <w:rFonts w:ascii="Garamond" w:hAnsi="Garamond"/>
          <w:sz w:val="24"/>
          <w:szCs w:val="24"/>
          <w:vertAlign w:val="superscript"/>
          <w:lang w:val="en-US"/>
        </w:rPr>
        <w:footnoteReference w:id="207"/>
      </w:r>
      <w:r w:rsidRPr="00D56AF5">
        <w:rPr>
          <w:rFonts w:ascii="Garamond" w:hAnsi="Garamond"/>
          <w:sz w:val="24"/>
          <w:szCs w:val="24"/>
          <w:lang w:val="en-US"/>
        </w:rPr>
        <w:t xml:space="preserve"> The UNSC </w:t>
      </w:r>
      <w:r w:rsidR="005C4AA1" w:rsidRPr="00D56AF5">
        <w:rPr>
          <w:rFonts w:ascii="Garamond" w:hAnsi="Garamond"/>
          <w:sz w:val="24"/>
          <w:szCs w:val="24"/>
          <w:lang w:val="en-US"/>
        </w:rPr>
        <w:t xml:space="preserve">has assumed an </w:t>
      </w:r>
      <w:r w:rsidRPr="00D56AF5">
        <w:rPr>
          <w:rFonts w:ascii="Garamond" w:hAnsi="Garamond"/>
          <w:sz w:val="24"/>
          <w:szCs w:val="24"/>
          <w:lang w:val="en-US"/>
        </w:rPr>
        <w:t xml:space="preserve">increasingly important role </w:t>
      </w:r>
      <w:r w:rsidR="005C4AA1" w:rsidRPr="00D56AF5">
        <w:rPr>
          <w:rFonts w:ascii="Garamond" w:hAnsi="Garamond"/>
          <w:sz w:val="24"/>
          <w:szCs w:val="24"/>
          <w:lang w:val="en-US"/>
        </w:rPr>
        <w:t>in this regard</w:t>
      </w:r>
      <w:r w:rsidR="00AE30DD" w:rsidRPr="00D56AF5">
        <w:rPr>
          <w:rFonts w:ascii="Garamond" w:hAnsi="Garamond"/>
          <w:sz w:val="24"/>
          <w:szCs w:val="24"/>
          <w:lang w:val="en-US"/>
        </w:rPr>
        <w:t xml:space="preserve">, by </w:t>
      </w:r>
      <w:r w:rsidRPr="00D56AF5">
        <w:rPr>
          <w:rFonts w:ascii="Garamond" w:hAnsi="Garamond"/>
          <w:sz w:val="24"/>
          <w:szCs w:val="24"/>
          <w:lang w:val="en-US"/>
        </w:rPr>
        <w:t>appraising the circumstances in which states can aid each other.</w:t>
      </w:r>
      <w:r w:rsidRPr="00D56AF5">
        <w:rPr>
          <w:rStyle w:val="FootnoteReference"/>
          <w:rFonts w:ascii="Garamond" w:hAnsi="Garamond"/>
          <w:sz w:val="24"/>
          <w:szCs w:val="24"/>
          <w:lang w:val="en-US"/>
        </w:rPr>
        <w:footnoteReference w:id="208"/>
      </w:r>
      <w:r w:rsidR="003C2E18">
        <w:rPr>
          <w:rFonts w:ascii="Garamond" w:hAnsi="Garamond"/>
          <w:sz w:val="24"/>
          <w:szCs w:val="24"/>
          <w:lang w:val="en-US"/>
        </w:rPr>
        <w:t xml:space="preserve"> </w:t>
      </w:r>
    </w:p>
    <w:p w14:paraId="208CDF23" w14:textId="01623E77" w:rsidR="00CD6B5D"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Second, we must concede the possibility of abuse in recognition decisions. Not all risk</w:t>
      </w:r>
      <w:r w:rsidR="00C72DF6" w:rsidRPr="00D56AF5">
        <w:rPr>
          <w:rFonts w:ascii="Garamond" w:hAnsi="Garamond"/>
          <w:sz w:val="24"/>
          <w:szCs w:val="24"/>
          <w:lang w:val="en-US"/>
        </w:rPr>
        <w:t>s</w:t>
      </w:r>
      <w:r w:rsidRPr="00D56AF5">
        <w:rPr>
          <w:rFonts w:ascii="Garamond" w:hAnsi="Garamond"/>
          <w:sz w:val="24"/>
          <w:szCs w:val="24"/>
          <w:lang w:val="en-US"/>
        </w:rPr>
        <w:t xml:space="preserve"> can be </w:t>
      </w:r>
      <w:r w:rsidR="00FB4856">
        <w:rPr>
          <w:rFonts w:ascii="Garamond" w:hAnsi="Garamond"/>
          <w:sz w:val="24"/>
          <w:szCs w:val="24"/>
          <w:lang w:val="en-US"/>
        </w:rPr>
        <w:t xml:space="preserve">legally </w:t>
      </w:r>
      <w:r w:rsidR="0004263A" w:rsidRPr="00D56AF5">
        <w:rPr>
          <w:rFonts w:ascii="Garamond" w:hAnsi="Garamond"/>
          <w:sz w:val="24"/>
          <w:szCs w:val="24"/>
          <w:lang w:val="en-US"/>
        </w:rPr>
        <w:t>preempted</w:t>
      </w:r>
      <w:r w:rsidRPr="00D56AF5">
        <w:rPr>
          <w:rFonts w:ascii="Garamond" w:hAnsi="Garamond"/>
          <w:sz w:val="24"/>
          <w:szCs w:val="24"/>
          <w:lang w:val="en-US"/>
        </w:rPr>
        <w:t xml:space="preserve">. Illegitimate or puppet governments </w:t>
      </w:r>
      <w:r w:rsidR="00905398" w:rsidRPr="00D56AF5">
        <w:rPr>
          <w:rFonts w:ascii="Garamond" w:hAnsi="Garamond"/>
          <w:sz w:val="24"/>
          <w:szCs w:val="24"/>
          <w:lang w:val="en-US"/>
        </w:rPr>
        <w:t>could</w:t>
      </w:r>
      <w:r w:rsidR="00EB1DB2" w:rsidRPr="00D56AF5">
        <w:rPr>
          <w:rFonts w:ascii="Garamond" w:hAnsi="Garamond"/>
          <w:sz w:val="24"/>
          <w:szCs w:val="24"/>
          <w:lang w:val="en-US"/>
        </w:rPr>
        <w:t xml:space="preserve"> possibly</w:t>
      </w:r>
      <w:r w:rsidRPr="00D56AF5">
        <w:rPr>
          <w:rFonts w:ascii="Garamond" w:hAnsi="Garamond"/>
          <w:sz w:val="24"/>
          <w:szCs w:val="24"/>
          <w:lang w:val="en-US"/>
        </w:rPr>
        <w:t xml:space="preserve"> receive recognition and invite intervention</w:t>
      </w:r>
      <w:r w:rsidR="005A5A04" w:rsidRPr="00D56AF5">
        <w:rPr>
          <w:rFonts w:ascii="Garamond" w:hAnsi="Garamond"/>
          <w:sz w:val="24"/>
          <w:szCs w:val="24"/>
          <w:lang w:val="en-US"/>
        </w:rPr>
        <w:t>s</w:t>
      </w:r>
      <w:r w:rsidRPr="00D56AF5">
        <w:rPr>
          <w:rFonts w:ascii="Garamond" w:hAnsi="Garamond"/>
          <w:sz w:val="24"/>
          <w:szCs w:val="24"/>
          <w:lang w:val="en-US"/>
        </w:rPr>
        <w:t xml:space="preserve">. However, to the extent that the mischief is discovered, international law </w:t>
      </w:r>
      <w:r w:rsidRPr="00D56AF5">
        <w:rPr>
          <w:rFonts w:ascii="Garamond" w:hAnsi="Garamond"/>
          <w:sz w:val="24"/>
          <w:szCs w:val="24"/>
          <w:lang w:val="en-US"/>
        </w:rPr>
        <w:lastRenderedPageBreak/>
        <w:t xml:space="preserve">unequivocally recognizes a violation of the state’s sovereignty. The normative arc of the system is thus clear – as far as pro-democratic interventions go, there are strong reasons for them to occur </w:t>
      </w:r>
      <w:r w:rsidR="00E05CE7" w:rsidRPr="00D56AF5">
        <w:rPr>
          <w:rFonts w:ascii="Garamond" w:hAnsi="Garamond"/>
          <w:sz w:val="24"/>
          <w:szCs w:val="24"/>
          <w:lang w:val="en-US"/>
        </w:rPr>
        <w:t>pursuant to</w:t>
      </w:r>
      <w:r w:rsidRPr="00D56AF5">
        <w:rPr>
          <w:rFonts w:ascii="Garamond" w:hAnsi="Garamond"/>
          <w:sz w:val="24"/>
          <w:szCs w:val="24"/>
          <w:lang w:val="en-US"/>
        </w:rPr>
        <w:t xml:space="preserve"> and within the confines of the state’s exercise of sovereignty.</w:t>
      </w:r>
      <w:r w:rsidR="00CD6B5D">
        <w:rPr>
          <w:rFonts w:ascii="Garamond" w:hAnsi="Garamond"/>
          <w:sz w:val="24"/>
          <w:szCs w:val="24"/>
          <w:lang w:val="en-US"/>
        </w:rPr>
        <w:t xml:space="preserve"> </w:t>
      </w:r>
    </w:p>
    <w:p w14:paraId="02B01BF9" w14:textId="335685CD" w:rsidR="00A262A5" w:rsidRPr="00A13376" w:rsidRDefault="00A262A5" w:rsidP="00B679CD">
      <w:pPr>
        <w:pStyle w:val="Heading3"/>
        <w:numPr>
          <w:ilvl w:val="2"/>
          <w:numId w:val="35"/>
        </w:numPr>
        <w:rPr>
          <w:lang w:val="en-US"/>
        </w:rPr>
      </w:pPr>
      <w:bookmarkStart w:id="26" w:name="_Toc191740738"/>
      <w:r w:rsidRPr="00A13376">
        <w:rPr>
          <w:lang w:val="en-US"/>
        </w:rPr>
        <w:t>The requirements of consent</w:t>
      </w:r>
      <w:bookmarkEnd w:id="26"/>
      <w:r w:rsidRPr="00A13376">
        <w:rPr>
          <w:lang w:val="en-US"/>
        </w:rPr>
        <w:t xml:space="preserve"> </w:t>
      </w:r>
    </w:p>
    <w:p w14:paraId="392DDC26" w14:textId="5CABAD90"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For an invitation to be valid, the consent expressed in it should be freely given and clearly established.</w:t>
      </w:r>
      <w:r w:rsidRPr="00D56AF5">
        <w:rPr>
          <w:rStyle w:val="FootnoteReference"/>
          <w:rFonts w:ascii="Garamond" w:hAnsi="Garamond"/>
          <w:sz w:val="24"/>
          <w:szCs w:val="24"/>
          <w:lang w:val="en-US"/>
        </w:rPr>
        <w:footnoteReference w:id="209"/>
      </w:r>
      <w:r w:rsidRPr="00D56AF5">
        <w:rPr>
          <w:rFonts w:ascii="Garamond" w:hAnsi="Garamond"/>
          <w:sz w:val="24"/>
          <w:szCs w:val="24"/>
          <w:lang w:val="en-US"/>
        </w:rPr>
        <w:t xml:space="preserve"> Consent can be vitiated where there is coercion, fraud, error,</w:t>
      </w:r>
      <w:r w:rsidR="00E05CE7" w:rsidRPr="00D56AF5">
        <w:rPr>
          <w:rFonts w:ascii="Garamond" w:hAnsi="Garamond"/>
          <w:sz w:val="24"/>
          <w:szCs w:val="24"/>
          <w:lang w:val="en-US"/>
        </w:rPr>
        <w:t xml:space="preserve"> or corruption</w:t>
      </w:r>
      <w:r w:rsidRPr="00D56AF5">
        <w:rPr>
          <w:rFonts w:ascii="Garamond" w:hAnsi="Garamond"/>
          <w:sz w:val="24"/>
          <w:szCs w:val="24"/>
          <w:lang w:val="en-US"/>
        </w:rPr>
        <w:t>.</w:t>
      </w:r>
      <w:r w:rsidRPr="00D56AF5">
        <w:rPr>
          <w:rStyle w:val="FootnoteReference"/>
          <w:rFonts w:ascii="Garamond" w:hAnsi="Garamond"/>
          <w:sz w:val="24"/>
          <w:szCs w:val="24"/>
          <w:lang w:val="en-US"/>
        </w:rPr>
        <w:footnoteReference w:id="210"/>
      </w:r>
      <w:r w:rsidRPr="00D56AF5">
        <w:rPr>
          <w:rFonts w:ascii="Garamond" w:hAnsi="Garamond"/>
          <w:sz w:val="24"/>
          <w:szCs w:val="24"/>
          <w:lang w:val="en-US"/>
        </w:rPr>
        <w:t xml:space="preserve"> The requirement of clear expression simply means that consent cannot be presumed, but it does not preclude </w:t>
      </w:r>
      <w:r w:rsidR="007D7E30" w:rsidRPr="00D56AF5">
        <w:rPr>
          <w:rFonts w:ascii="Garamond" w:hAnsi="Garamond"/>
          <w:sz w:val="24"/>
          <w:szCs w:val="24"/>
          <w:lang w:val="en-US"/>
        </w:rPr>
        <w:t>an</w:t>
      </w:r>
      <w:r w:rsidRPr="00D56AF5">
        <w:rPr>
          <w:rFonts w:ascii="Garamond" w:hAnsi="Garamond"/>
          <w:sz w:val="24"/>
          <w:szCs w:val="24"/>
          <w:lang w:val="en-US"/>
        </w:rPr>
        <w:t xml:space="preserve"> implicit, tacit</w:t>
      </w:r>
      <w:r w:rsidR="00C72DF6" w:rsidRPr="00D56AF5">
        <w:rPr>
          <w:rFonts w:ascii="Garamond" w:hAnsi="Garamond"/>
          <w:sz w:val="24"/>
          <w:szCs w:val="24"/>
          <w:lang w:val="en-US"/>
        </w:rPr>
        <w:t>,</w:t>
      </w:r>
      <w:r w:rsidRPr="00D56AF5">
        <w:rPr>
          <w:rFonts w:ascii="Garamond" w:hAnsi="Garamond"/>
          <w:sz w:val="24"/>
          <w:szCs w:val="24"/>
          <w:lang w:val="en-US"/>
        </w:rPr>
        <w:t xml:space="preserve"> or informal</w:t>
      </w:r>
      <w:r w:rsidR="007D7E30" w:rsidRPr="00D56AF5">
        <w:rPr>
          <w:rFonts w:ascii="Garamond" w:hAnsi="Garamond"/>
          <w:sz w:val="24"/>
          <w:szCs w:val="24"/>
          <w:lang w:val="en-US"/>
        </w:rPr>
        <w:t xml:space="preserve"> delivery</w:t>
      </w:r>
      <w:r w:rsidRPr="00D56AF5">
        <w:rPr>
          <w:rFonts w:ascii="Garamond" w:hAnsi="Garamond"/>
          <w:sz w:val="24"/>
          <w:szCs w:val="24"/>
          <w:lang w:val="en-US"/>
        </w:rPr>
        <w:t>.</w:t>
      </w:r>
      <w:r w:rsidRPr="00D56AF5">
        <w:rPr>
          <w:rStyle w:val="FootnoteReference"/>
          <w:rFonts w:ascii="Garamond" w:hAnsi="Garamond"/>
          <w:sz w:val="24"/>
          <w:szCs w:val="24"/>
          <w:lang w:val="en-US"/>
        </w:rPr>
        <w:footnoteReference w:id="211"/>
      </w:r>
      <w:r w:rsidRPr="00D56AF5">
        <w:rPr>
          <w:rFonts w:ascii="Garamond" w:hAnsi="Garamond"/>
          <w:sz w:val="24"/>
          <w:szCs w:val="24"/>
          <w:lang w:val="en-US"/>
        </w:rPr>
        <w:t xml:space="preserve"> </w:t>
      </w:r>
    </w:p>
    <w:p w14:paraId="16AF9515" w14:textId="0A74BF8E" w:rsidR="00A262A5"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The invitation also needs to be specific, clearly setting out the scope and</w:t>
      </w:r>
      <w:r w:rsidR="0062486A">
        <w:rPr>
          <w:rFonts w:ascii="Garamond" w:hAnsi="Garamond"/>
          <w:sz w:val="24"/>
          <w:szCs w:val="24"/>
          <w:lang w:val="en-US"/>
        </w:rPr>
        <w:t xml:space="preserve">/or </w:t>
      </w:r>
      <w:r w:rsidRPr="00D56AF5">
        <w:rPr>
          <w:rFonts w:ascii="Garamond" w:hAnsi="Garamond"/>
          <w:sz w:val="24"/>
          <w:szCs w:val="24"/>
          <w:lang w:val="en-US"/>
        </w:rPr>
        <w:t>temporal boundaries of intervention. An intervention can only occur within those limits. Military activities exceeding consent may be construed as acts of aggression</w:t>
      </w:r>
      <w:r w:rsidR="00251624" w:rsidRPr="00D56AF5">
        <w:rPr>
          <w:rFonts w:ascii="Garamond" w:hAnsi="Garamond"/>
          <w:sz w:val="24"/>
          <w:szCs w:val="24"/>
          <w:lang w:val="en-US"/>
        </w:rPr>
        <w:t xml:space="preserve">, further evincing </w:t>
      </w:r>
      <w:r w:rsidRPr="00D56AF5">
        <w:rPr>
          <w:rFonts w:ascii="Garamond" w:hAnsi="Garamond"/>
          <w:sz w:val="24"/>
          <w:szCs w:val="24"/>
          <w:lang w:val="en-US"/>
        </w:rPr>
        <w:t>that interventions by invitation are to be consistent with sovereignty.</w:t>
      </w:r>
      <w:r w:rsidRPr="00D56AF5">
        <w:rPr>
          <w:rStyle w:val="FootnoteReference"/>
          <w:rFonts w:ascii="Garamond" w:hAnsi="Garamond"/>
          <w:sz w:val="24"/>
          <w:szCs w:val="24"/>
          <w:lang w:val="en-US"/>
        </w:rPr>
        <w:footnoteReference w:id="212"/>
      </w:r>
      <w:r w:rsidR="00EB1DB2" w:rsidRPr="00D56AF5">
        <w:rPr>
          <w:rFonts w:ascii="Garamond" w:hAnsi="Garamond"/>
          <w:sz w:val="24"/>
          <w:szCs w:val="24"/>
          <w:lang w:val="en-US"/>
        </w:rPr>
        <w:t xml:space="preserve"> </w:t>
      </w:r>
      <w:r w:rsidRPr="00D56AF5">
        <w:rPr>
          <w:rFonts w:ascii="Garamond" w:hAnsi="Garamond"/>
          <w:sz w:val="24"/>
          <w:szCs w:val="24"/>
          <w:lang w:val="en-US"/>
        </w:rPr>
        <w:t>Invitations for intervention also remain fully revocable, especially when extended on an ad hoc basis; although when expressed within a treaty, they may be subject to the treaty-withdrawal mechanisms.</w:t>
      </w:r>
      <w:r w:rsidRPr="00D56AF5">
        <w:rPr>
          <w:rStyle w:val="FootnoteReference"/>
          <w:rFonts w:ascii="Garamond" w:hAnsi="Garamond"/>
          <w:sz w:val="24"/>
          <w:szCs w:val="24"/>
          <w:lang w:val="en-US"/>
        </w:rPr>
        <w:footnoteReference w:id="213"/>
      </w:r>
      <w:r w:rsidRPr="00D56AF5">
        <w:rPr>
          <w:rFonts w:ascii="Garamond" w:hAnsi="Garamond"/>
          <w:sz w:val="24"/>
          <w:szCs w:val="24"/>
          <w:lang w:val="en-US"/>
        </w:rPr>
        <w:t xml:space="preserve"> </w:t>
      </w:r>
    </w:p>
    <w:p w14:paraId="549DD502" w14:textId="175462F8" w:rsidR="006528C1"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These requirements as to form of consent ensure respect for sovereignty. The ad hoc nature of consent – its delivery immediately before an intervention when the material circumstances requiring intervention are known to the sovereign representative, and its specificity – incorporating conditions that adequately map the state’s sovereign will, ensure that the intervention occurs pursuant to an exercise of sovereignty. </w:t>
      </w:r>
    </w:p>
    <w:p w14:paraId="1ED40BC6" w14:textId="77777777" w:rsidR="00101F47" w:rsidRPr="00D56AF5" w:rsidRDefault="00101F47" w:rsidP="001340AF">
      <w:pPr>
        <w:spacing w:after="120" w:line="480" w:lineRule="auto"/>
        <w:jc w:val="both"/>
        <w:rPr>
          <w:rFonts w:ascii="Garamond" w:hAnsi="Garamond"/>
          <w:sz w:val="24"/>
          <w:szCs w:val="24"/>
          <w:lang w:val="en-US"/>
        </w:rPr>
      </w:pPr>
    </w:p>
    <w:p w14:paraId="3EC81402" w14:textId="18BDC950" w:rsidR="00A262A5" w:rsidRPr="00D56AF5" w:rsidRDefault="00A13376" w:rsidP="001340AF">
      <w:pPr>
        <w:pStyle w:val="Heading2"/>
        <w:numPr>
          <w:ilvl w:val="1"/>
          <w:numId w:val="35"/>
        </w:numPr>
        <w:spacing w:line="480" w:lineRule="auto"/>
        <w:rPr>
          <w:szCs w:val="24"/>
          <w:lang w:val="en-US"/>
        </w:rPr>
      </w:pPr>
      <w:bookmarkStart w:id="27" w:name="_Toc191740739"/>
      <w:bookmarkStart w:id="28" w:name="_Toc169217169"/>
      <w:r>
        <w:rPr>
          <w:szCs w:val="24"/>
          <w:lang w:val="en-US"/>
        </w:rPr>
        <w:lastRenderedPageBreak/>
        <w:t>Assessing the two routes</w:t>
      </w:r>
      <w:bookmarkEnd w:id="27"/>
      <w:r>
        <w:rPr>
          <w:szCs w:val="24"/>
          <w:lang w:val="en-US"/>
        </w:rPr>
        <w:t xml:space="preserve"> </w:t>
      </w:r>
      <w:bookmarkEnd w:id="28"/>
    </w:p>
    <w:p w14:paraId="4D68DA39" w14:textId="69747945" w:rsidR="006A3353" w:rsidRDefault="00873372" w:rsidP="001340AF">
      <w:pPr>
        <w:spacing w:after="120" w:line="480" w:lineRule="auto"/>
        <w:jc w:val="both"/>
        <w:rPr>
          <w:rFonts w:ascii="Garamond" w:hAnsi="Garamond"/>
          <w:sz w:val="24"/>
          <w:szCs w:val="24"/>
          <w:lang w:val="en-US"/>
        </w:rPr>
      </w:pPr>
      <w:r>
        <w:rPr>
          <w:rFonts w:ascii="Garamond" w:hAnsi="Garamond"/>
          <w:sz w:val="24"/>
          <w:szCs w:val="24"/>
          <w:lang w:val="en-US"/>
        </w:rPr>
        <w:t xml:space="preserve">Theoretically, </w:t>
      </w:r>
      <w:r w:rsidR="0058437A">
        <w:rPr>
          <w:rFonts w:ascii="Garamond" w:hAnsi="Garamond"/>
          <w:sz w:val="24"/>
          <w:szCs w:val="24"/>
          <w:lang w:val="en-US"/>
        </w:rPr>
        <w:t>s</w:t>
      </w:r>
      <w:r w:rsidR="006A3353">
        <w:rPr>
          <w:rFonts w:ascii="Garamond" w:hAnsi="Garamond"/>
          <w:sz w:val="24"/>
          <w:szCs w:val="24"/>
          <w:lang w:val="en-US"/>
        </w:rPr>
        <w:t xml:space="preserve">tanding authorizations </w:t>
      </w:r>
      <w:r w:rsidR="00C07AFF">
        <w:rPr>
          <w:rFonts w:ascii="Garamond" w:hAnsi="Garamond"/>
          <w:sz w:val="24"/>
          <w:szCs w:val="24"/>
          <w:lang w:val="en-US"/>
        </w:rPr>
        <w:t xml:space="preserve">are supposed to have pragmatic value </w:t>
      </w:r>
      <w:r w:rsidR="006A3353">
        <w:rPr>
          <w:rFonts w:ascii="Garamond" w:hAnsi="Garamond"/>
          <w:sz w:val="24"/>
          <w:szCs w:val="24"/>
          <w:lang w:val="en-US"/>
        </w:rPr>
        <w:t xml:space="preserve">because of their abstract potential to </w:t>
      </w:r>
      <w:r w:rsidR="006A3353" w:rsidRPr="00D56AF5">
        <w:rPr>
          <w:rFonts w:ascii="Garamond" w:hAnsi="Garamond"/>
          <w:sz w:val="24"/>
          <w:szCs w:val="24"/>
          <w:lang w:val="en-US"/>
        </w:rPr>
        <w:t>promot</w:t>
      </w:r>
      <w:r w:rsidR="006A3353">
        <w:rPr>
          <w:rFonts w:ascii="Garamond" w:hAnsi="Garamond"/>
          <w:sz w:val="24"/>
          <w:szCs w:val="24"/>
          <w:lang w:val="en-US"/>
        </w:rPr>
        <w:t>e</w:t>
      </w:r>
      <w:r w:rsidR="006A3353" w:rsidRPr="00D56AF5">
        <w:rPr>
          <w:rFonts w:ascii="Garamond" w:hAnsi="Garamond"/>
          <w:sz w:val="24"/>
          <w:szCs w:val="24"/>
          <w:lang w:val="en-US"/>
        </w:rPr>
        <w:t xml:space="preserve"> peace and security in regions </w:t>
      </w:r>
      <w:r w:rsidR="006A3353">
        <w:rPr>
          <w:rFonts w:ascii="Garamond" w:hAnsi="Garamond"/>
          <w:sz w:val="24"/>
          <w:szCs w:val="24"/>
          <w:lang w:val="en-US"/>
        </w:rPr>
        <w:t xml:space="preserve">that </w:t>
      </w:r>
      <w:r w:rsidR="006A3353" w:rsidRPr="00D56AF5">
        <w:rPr>
          <w:rFonts w:ascii="Garamond" w:hAnsi="Garamond"/>
          <w:sz w:val="24"/>
          <w:szCs w:val="24"/>
          <w:lang w:val="en-US"/>
        </w:rPr>
        <w:t>frequently face military coups and unconstitutional seizures of power, often to the complete indifference of the UNSC.</w:t>
      </w:r>
      <w:r w:rsidR="006A3353" w:rsidRPr="00D56AF5">
        <w:rPr>
          <w:rStyle w:val="FootnoteReference"/>
          <w:rFonts w:ascii="Garamond" w:hAnsi="Garamond"/>
          <w:sz w:val="24"/>
          <w:szCs w:val="24"/>
          <w:lang w:val="en-US"/>
        </w:rPr>
        <w:footnoteReference w:id="214"/>
      </w:r>
      <w:r w:rsidR="006A3353" w:rsidRPr="00D56AF5">
        <w:rPr>
          <w:rFonts w:ascii="Garamond" w:hAnsi="Garamond"/>
          <w:sz w:val="24"/>
          <w:szCs w:val="24"/>
          <w:lang w:val="en-US"/>
        </w:rPr>
        <w:t xml:space="preserve"> Treaty-based arrangements carry presumptions of legitimacy, help forge military alliances, provide a framework for making military capacities available to other states, and ultimately work like treat</w:t>
      </w:r>
      <w:r w:rsidR="00C94A40">
        <w:rPr>
          <w:rFonts w:ascii="Garamond" w:hAnsi="Garamond"/>
          <w:sz w:val="24"/>
          <w:szCs w:val="24"/>
          <w:lang w:val="en-US"/>
        </w:rPr>
        <w:t>ies</w:t>
      </w:r>
      <w:r w:rsidR="006A3353" w:rsidRPr="00D56AF5">
        <w:rPr>
          <w:rFonts w:ascii="Garamond" w:hAnsi="Garamond"/>
          <w:sz w:val="24"/>
          <w:szCs w:val="24"/>
          <w:lang w:val="en-US"/>
        </w:rPr>
        <w:t xml:space="preserve"> of guarantee.</w:t>
      </w:r>
      <w:r w:rsidR="006A3353" w:rsidRPr="00D56AF5">
        <w:rPr>
          <w:rFonts w:ascii="Garamond" w:hAnsi="Garamond"/>
          <w:sz w:val="24"/>
          <w:szCs w:val="24"/>
          <w:vertAlign w:val="superscript"/>
          <w:lang w:val="en-US"/>
        </w:rPr>
        <w:footnoteReference w:id="215"/>
      </w:r>
      <w:r w:rsidR="006A3353" w:rsidRPr="00D56AF5">
        <w:rPr>
          <w:rFonts w:ascii="Garamond" w:hAnsi="Garamond"/>
          <w:sz w:val="24"/>
          <w:szCs w:val="24"/>
          <w:lang w:val="en-US"/>
        </w:rPr>
        <w:t xml:space="preserve"> They offer arrangements for intervention that can be invoked immediately and without extensive political maneuvering across multiple ideological factions</w:t>
      </w:r>
      <w:r w:rsidR="006A3353">
        <w:rPr>
          <w:rFonts w:ascii="Garamond" w:hAnsi="Garamond"/>
          <w:sz w:val="24"/>
          <w:szCs w:val="24"/>
          <w:lang w:val="en-US"/>
        </w:rPr>
        <w:t xml:space="preserve"> during crises.</w:t>
      </w:r>
    </w:p>
    <w:p w14:paraId="352C2D8D" w14:textId="659D2272" w:rsidR="00D7325E" w:rsidRPr="00D56AF5" w:rsidRDefault="00AE3B53" w:rsidP="001340AF">
      <w:pPr>
        <w:spacing w:after="120" w:line="480" w:lineRule="auto"/>
        <w:jc w:val="both"/>
        <w:rPr>
          <w:rFonts w:ascii="Garamond" w:hAnsi="Garamond"/>
          <w:sz w:val="24"/>
          <w:szCs w:val="24"/>
          <w:lang w:val="en-US"/>
        </w:rPr>
      </w:pPr>
      <w:r>
        <w:rPr>
          <w:rFonts w:ascii="Garamond" w:hAnsi="Garamond"/>
          <w:sz w:val="24"/>
          <w:szCs w:val="24"/>
          <w:lang w:val="en-US"/>
        </w:rPr>
        <w:t xml:space="preserve">Of the two routes introduced at the beginning, </w:t>
      </w:r>
      <w:r w:rsidRPr="00D56AF5">
        <w:rPr>
          <w:rFonts w:ascii="Garamond" w:hAnsi="Garamond"/>
          <w:sz w:val="24"/>
          <w:szCs w:val="24"/>
          <w:lang w:val="en-US"/>
        </w:rPr>
        <w:t>the Ad Hoc Authorization Route replicates the doctrine of intervention by invitation</w:t>
      </w:r>
      <w:r>
        <w:rPr>
          <w:rFonts w:ascii="Garamond" w:hAnsi="Garamond"/>
          <w:sz w:val="24"/>
          <w:szCs w:val="24"/>
          <w:lang w:val="en-US"/>
        </w:rPr>
        <w:t xml:space="preserve">, by requiring supplementary </w:t>
      </w:r>
      <w:r w:rsidR="00D7325E" w:rsidRPr="00D56AF5">
        <w:rPr>
          <w:rFonts w:ascii="Garamond" w:hAnsi="Garamond"/>
          <w:sz w:val="24"/>
          <w:szCs w:val="24"/>
          <w:lang w:val="en-US"/>
        </w:rPr>
        <w:t>ad hoc authorization</w:t>
      </w:r>
      <w:r>
        <w:rPr>
          <w:rFonts w:ascii="Garamond" w:hAnsi="Garamond"/>
          <w:sz w:val="24"/>
          <w:szCs w:val="24"/>
          <w:lang w:val="en-US"/>
        </w:rPr>
        <w:t>s for intervention</w:t>
      </w:r>
      <w:r w:rsidR="00D7325E" w:rsidRPr="00D56AF5">
        <w:rPr>
          <w:rFonts w:ascii="Garamond" w:hAnsi="Garamond"/>
          <w:sz w:val="24"/>
          <w:szCs w:val="24"/>
          <w:lang w:val="en-US"/>
        </w:rPr>
        <w:t>.</w:t>
      </w:r>
      <w:r w:rsidR="00D7325E" w:rsidRPr="00D56AF5">
        <w:rPr>
          <w:rFonts w:ascii="Garamond" w:hAnsi="Garamond"/>
          <w:sz w:val="24"/>
          <w:szCs w:val="24"/>
          <w:vertAlign w:val="superscript"/>
          <w:lang w:val="en-US"/>
        </w:rPr>
        <w:footnoteReference w:id="216"/>
      </w:r>
      <w:r w:rsidR="00D7325E" w:rsidRPr="00D56AF5">
        <w:rPr>
          <w:rFonts w:ascii="Garamond" w:hAnsi="Garamond"/>
          <w:sz w:val="24"/>
          <w:szCs w:val="24"/>
          <w:lang w:val="en-US"/>
        </w:rPr>
        <w:t xml:space="preserve"> Proponents of this view argue that state practice in the context of standing authorizations </w:t>
      </w:r>
      <w:r w:rsidR="00C94A40">
        <w:rPr>
          <w:rFonts w:ascii="Garamond" w:hAnsi="Garamond"/>
          <w:sz w:val="24"/>
          <w:szCs w:val="24"/>
          <w:lang w:val="en-US"/>
        </w:rPr>
        <w:t>does not evince a customary rule of their</w:t>
      </w:r>
      <w:r>
        <w:rPr>
          <w:rFonts w:ascii="Garamond" w:hAnsi="Garamond"/>
          <w:sz w:val="24"/>
          <w:szCs w:val="24"/>
          <w:lang w:val="en-US"/>
        </w:rPr>
        <w:t xml:space="preserve"> sufficien</w:t>
      </w:r>
      <w:r w:rsidR="00C94A40">
        <w:rPr>
          <w:rFonts w:ascii="Garamond" w:hAnsi="Garamond"/>
          <w:sz w:val="24"/>
          <w:szCs w:val="24"/>
          <w:lang w:val="en-US"/>
        </w:rPr>
        <w:t>cy</w:t>
      </w:r>
      <w:r>
        <w:rPr>
          <w:rFonts w:ascii="Garamond" w:hAnsi="Garamond"/>
          <w:sz w:val="24"/>
          <w:szCs w:val="24"/>
          <w:lang w:val="en-US"/>
        </w:rPr>
        <w:t xml:space="preserve"> </w:t>
      </w:r>
      <w:r w:rsidR="00C94A40">
        <w:rPr>
          <w:rFonts w:ascii="Garamond" w:hAnsi="Garamond"/>
          <w:sz w:val="24"/>
          <w:szCs w:val="24"/>
          <w:lang w:val="en-US"/>
        </w:rPr>
        <w:t xml:space="preserve">as legal bases </w:t>
      </w:r>
      <w:r>
        <w:rPr>
          <w:rFonts w:ascii="Garamond" w:hAnsi="Garamond"/>
          <w:sz w:val="24"/>
          <w:szCs w:val="24"/>
          <w:lang w:val="en-US"/>
        </w:rPr>
        <w:t>for intervention</w:t>
      </w:r>
      <w:r w:rsidR="00D7325E" w:rsidRPr="00D56AF5">
        <w:rPr>
          <w:rFonts w:ascii="Garamond" w:hAnsi="Garamond"/>
          <w:sz w:val="24"/>
          <w:szCs w:val="24"/>
          <w:lang w:val="en-US"/>
        </w:rPr>
        <w:t>,</w:t>
      </w:r>
      <w:r w:rsidR="00D7325E" w:rsidRPr="00D56AF5">
        <w:rPr>
          <w:rFonts w:ascii="Garamond" w:hAnsi="Garamond"/>
          <w:sz w:val="24"/>
          <w:szCs w:val="24"/>
          <w:vertAlign w:val="superscript"/>
          <w:lang w:val="en-US"/>
        </w:rPr>
        <w:footnoteReference w:id="217"/>
      </w:r>
      <w:r w:rsidR="00D7325E" w:rsidRPr="00D56AF5">
        <w:rPr>
          <w:rFonts w:ascii="Garamond" w:hAnsi="Garamond"/>
          <w:sz w:val="24"/>
          <w:szCs w:val="24"/>
          <w:lang w:val="en-US"/>
        </w:rPr>
        <w:t xml:space="preserve"> because most interventions have either been preceded by ad hoc invites from the internationally recognized leaders,</w:t>
      </w:r>
      <w:r w:rsidR="00D7325E" w:rsidRPr="00D56AF5">
        <w:rPr>
          <w:rFonts w:ascii="Garamond" w:hAnsi="Garamond"/>
          <w:sz w:val="24"/>
          <w:szCs w:val="24"/>
          <w:vertAlign w:val="superscript"/>
          <w:lang w:val="en-US"/>
        </w:rPr>
        <w:footnoteReference w:id="218"/>
      </w:r>
      <w:r w:rsidR="00D7325E" w:rsidRPr="00D56AF5">
        <w:rPr>
          <w:rFonts w:ascii="Garamond" w:hAnsi="Garamond"/>
          <w:sz w:val="24"/>
          <w:szCs w:val="24"/>
          <w:lang w:val="en-US"/>
        </w:rPr>
        <w:t xml:space="preserve"> or garnered some form of UNSC support.</w:t>
      </w:r>
      <w:r w:rsidR="00D7325E" w:rsidRPr="00D56AF5">
        <w:rPr>
          <w:rFonts w:ascii="Garamond" w:hAnsi="Garamond"/>
          <w:sz w:val="24"/>
          <w:szCs w:val="24"/>
          <w:vertAlign w:val="superscript"/>
          <w:lang w:val="en-US"/>
        </w:rPr>
        <w:footnoteReference w:id="219"/>
      </w:r>
      <w:r w:rsidR="00D7325E" w:rsidRPr="00D56AF5">
        <w:rPr>
          <w:rFonts w:ascii="Garamond" w:hAnsi="Garamond"/>
          <w:sz w:val="24"/>
          <w:szCs w:val="24"/>
          <w:lang w:val="en-US"/>
        </w:rPr>
        <w:t xml:space="preserve"> This represents recourse to more traditional legal grounds for intervention. </w:t>
      </w:r>
    </w:p>
    <w:p w14:paraId="7ADC41C7" w14:textId="22BD0A35" w:rsidR="00D7325E" w:rsidRPr="00D56AF5" w:rsidRDefault="00C94A40" w:rsidP="001340AF">
      <w:pPr>
        <w:spacing w:after="120" w:line="480" w:lineRule="auto"/>
        <w:jc w:val="both"/>
        <w:rPr>
          <w:rFonts w:ascii="Garamond" w:hAnsi="Garamond"/>
          <w:sz w:val="24"/>
          <w:szCs w:val="24"/>
          <w:lang w:val="en-US"/>
        </w:rPr>
      </w:pPr>
      <w:r>
        <w:rPr>
          <w:rFonts w:ascii="Garamond" w:hAnsi="Garamond"/>
          <w:sz w:val="24"/>
          <w:szCs w:val="24"/>
          <w:lang w:val="en-US"/>
        </w:rPr>
        <w:t>In contrast, the</w:t>
      </w:r>
      <w:r w:rsidR="00D7325E" w:rsidRPr="00D56AF5">
        <w:rPr>
          <w:rFonts w:ascii="Garamond" w:hAnsi="Garamond"/>
          <w:sz w:val="24"/>
          <w:szCs w:val="24"/>
          <w:lang w:val="en-US"/>
        </w:rPr>
        <w:t xml:space="preserve"> Prior Consent Route </w:t>
      </w:r>
      <w:r>
        <w:rPr>
          <w:rFonts w:ascii="Garamond" w:hAnsi="Garamond"/>
          <w:sz w:val="24"/>
          <w:szCs w:val="24"/>
          <w:lang w:val="en-US"/>
        </w:rPr>
        <w:t xml:space="preserve">considers </w:t>
      </w:r>
      <w:r w:rsidR="00D7325E" w:rsidRPr="00D56AF5">
        <w:rPr>
          <w:rFonts w:ascii="Garamond" w:hAnsi="Garamond"/>
          <w:sz w:val="24"/>
          <w:szCs w:val="24"/>
          <w:lang w:val="en-US"/>
        </w:rPr>
        <w:t xml:space="preserve">standing authorizations as adequate legal bases for intervention. </w:t>
      </w:r>
      <w:r>
        <w:rPr>
          <w:rFonts w:ascii="Garamond" w:hAnsi="Garamond"/>
          <w:sz w:val="24"/>
          <w:szCs w:val="24"/>
          <w:lang w:val="en-US"/>
        </w:rPr>
        <w:t>On this view, s</w:t>
      </w:r>
      <w:r w:rsidR="00D7325E" w:rsidRPr="00D56AF5">
        <w:rPr>
          <w:rFonts w:ascii="Garamond" w:hAnsi="Garamond"/>
          <w:sz w:val="24"/>
          <w:szCs w:val="24"/>
          <w:lang w:val="en-US"/>
        </w:rPr>
        <w:t>tanding consent falls under the</w:t>
      </w:r>
      <w:r>
        <w:rPr>
          <w:rFonts w:ascii="Garamond" w:hAnsi="Garamond"/>
          <w:sz w:val="24"/>
          <w:szCs w:val="24"/>
          <w:lang w:val="en-US"/>
        </w:rPr>
        <w:t xml:space="preserve"> state’s sovereign</w:t>
      </w:r>
      <w:r w:rsidR="00D7325E" w:rsidRPr="00D56AF5">
        <w:rPr>
          <w:rFonts w:ascii="Garamond" w:hAnsi="Garamond"/>
          <w:sz w:val="24"/>
          <w:szCs w:val="24"/>
          <w:lang w:val="en-US"/>
        </w:rPr>
        <w:t xml:space="preserve"> ‘freedom-to-contract’, and therefore does not violate article 2(4).</w:t>
      </w:r>
      <w:r w:rsidR="00D7325E" w:rsidRPr="00D56AF5">
        <w:rPr>
          <w:rFonts w:ascii="Garamond" w:hAnsi="Garamond"/>
          <w:sz w:val="24"/>
          <w:szCs w:val="24"/>
          <w:vertAlign w:val="superscript"/>
          <w:lang w:val="en-US"/>
        </w:rPr>
        <w:t xml:space="preserve"> </w:t>
      </w:r>
      <w:r w:rsidR="00D7325E" w:rsidRPr="00D56AF5">
        <w:rPr>
          <w:rFonts w:ascii="Garamond" w:hAnsi="Garamond"/>
          <w:sz w:val="24"/>
          <w:szCs w:val="24"/>
          <w:vertAlign w:val="superscript"/>
          <w:lang w:val="en-US"/>
        </w:rPr>
        <w:footnoteReference w:id="220"/>
      </w:r>
      <w:r w:rsidR="00D7325E" w:rsidRPr="00D56AF5">
        <w:rPr>
          <w:rFonts w:ascii="Garamond" w:hAnsi="Garamond"/>
          <w:sz w:val="24"/>
          <w:szCs w:val="24"/>
          <w:lang w:val="en-US"/>
        </w:rPr>
        <w:t xml:space="preserve"> Under general international law, successor governments are bound by the treaty-signing actions of their predecessor, and standing </w:t>
      </w:r>
      <w:r w:rsidR="00D7325E" w:rsidRPr="00D56AF5">
        <w:rPr>
          <w:rFonts w:ascii="Garamond" w:hAnsi="Garamond"/>
          <w:sz w:val="24"/>
          <w:szCs w:val="24"/>
          <w:lang w:val="en-US"/>
        </w:rPr>
        <w:lastRenderedPageBreak/>
        <w:t>authorizations are no exception.</w:t>
      </w:r>
      <w:r w:rsidR="00D7325E" w:rsidRPr="00D56AF5">
        <w:rPr>
          <w:rFonts w:ascii="Garamond" w:hAnsi="Garamond"/>
          <w:sz w:val="24"/>
          <w:szCs w:val="24"/>
          <w:vertAlign w:val="superscript"/>
          <w:lang w:val="en-US"/>
        </w:rPr>
        <w:footnoteReference w:id="221"/>
      </w:r>
      <w:r w:rsidR="00D7325E" w:rsidRPr="00D56AF5">
        <w:rPr>
          <w:rFonts w:ascii="Garamond" w:hAnsi="Garamond"/>
          <w:sz w:val="24"/>
          <w:szCs w:val="24"/>
          <w:lang w:val="en-US"/>
        </w:rPr>
        <w:t xml:space="preserve"> Neither the abstract nature of the invitation nor the lack of temporal proximity to the actual intervention are fatal to its validity, and no particular danger is posed to sovereign will</w:t>
      </w:r>
      <w:r w:rsidR="00EC1E7A">
        <w:rPr>
          <w:rFonts w:ascii="Garamond" w:hAnsi="Garamond"/>
          <w:sz w:val="24"/>
          <w:szCs w:val="24"/>
          <w:lang w:val="en-US"/>
        </w:rPr>
        <w:t>,</w:t>
      </w:r>
      <w:r w:rsidR="00D7325E" w:rsidRPr="00D56AF5">
        <w:rPr>
          <w:rFonts w:ascii="Garamond" w:hAnsi="Garamond"/>
          <w:sz w:val="24"/>
          <w:szCs w:val="24"/>
          <w:lang w:val="en-US"/>
        </w:rPr>
        <w:t xml:space="preserve"> because legitimate governments are entitled to subsequently revoke their </w:t>
      </w:r>
      <w:r>
        <w:rPr>
          <w:rFonts w:ascii="Garamond" w:hAnsi="Garamond"/>
          <w:sz w:val="24"/>
          <w:szCs w:val="24"/>
          <w:lang w:val="en-US"/>
        </w:rPr>
        <w:t>authorizations</w:t>
      </w:r>
      <w:r w:rsidR="00D7325E" w:rsidRPr="00D56AF5">
        <w:rPr>
          <w:rFonts w:ascii="Garamond" w:hAnsi="Garamond"/>
          <w:sz w:val="24"/>
          <w:szCs w:val="24"/>
          <w:lang w:val="en-US"/>
        </w:rPr>
        <w:t xml:space="preserve"> under the treaty mechanism</w:t>
      </w:r>
      <w:r>
        <w:rPr>
          <w:rFonts w:ascii="Garamond" w:hAnsi="Garamond"/>
          <w:sz w:val="24"/>
          <w:szCs w:val="24"/>
          <w:lang w:val="en-US"/>
        </w:rPr>
        <w:t>s</w:t>
      </w:r>
      <w:r w:rsidR="00D7325E" w:rsidRPr="00D56AF5">
        <w:rPr>
          <w:rFonts w:ascii="Garamond" w:hAnsi="Garamond"/>
          <w:sz w:val="24"/>
          <w:szCs w:val="24"/>
          <w:lang w:val="en-US"/>
        </w:rPr>
        <w:t>.</w:t>
      </w:r>
      <w:r w:rsidR="00D7325E" w:rsidRPr="00D56AF5">
        <w:rPr>
          <w:rFonts w:ascii="Garamond" w:hAnsi="Garamond"/>
          <w:sz w:val="24"/>
          <w:szCs w:val="24"/>
          <w:vertAlign w:val="superscript"/>
          <w:lang w:val="en-US"/>
        </w:rPr>
        <w:footnoteReference w:id="222"/>
      </w:r>
      <w:r w:rsidR="00D7325E" w:rsidRPr="00D56AF5">
        <w:rPr>
          <w:rFonts w:ascii="Garamond" w:hAnsi="Garamond"/>
          <w:sz w:val="24"/>
          <w:szCs w:val="24"/>
          <w:lang w:val="en-US"/>
        </w:rPr>
        <w:t xml:space="preserve"> </w:t>
      </w:r>
    </w:p>
    <w:p w14:paraId="0A3AD725" w14:textId="15353F55" w:rsidR="0072544A" w:rsidRDefault="00EC1E7A" w:rsidP="001340AF">
      <w:pPr>
        <w:spacing w:after="120" w:line="480" w:lineRule="auto"/>
        <w:jc w:val="both"/>
        <w:rPr>
          <w:rFonts w:ascii="Garamond" w:hAnsi="Garamond"/>
          <w:sz w:val="24"/>
          <w:szCs w:val="24"/>
          <w:lang w:val="en-US"/>
        </w:rPr>
      </w:pPr>
      <w:r>
        <w:rPr>
          <w:rFonts w:ascii="Garamond" w:hAnsi="Garamond"/>
          <w:sz w:val="24"/>
          <w:szCs w:val="24"/>
          <w:lang w:val="en-US"/>
        </w:rPr>
        <w:t xml:space="preserve">I abstain from </w:t>
      </w:r>
      <w:r w:rsidR="00963735">
        <w:rPr>
          <w:rFonts w:ascii="Garamond" w:hAnsi="Garamond"/>
          <w:sz w:val="24"/>
          <w:szCs w:val="24"/>
          <w:lang w:val="en-US"/>
        </w:rPr>
        <w:t xml:space="preserve">taking </w:t>
      </w:r>
      <w:r>
        <w:rPr>
          <w:rFonts w:ascii="Garamond" w:hAnsi="Garamond"/>
          <w:sz w:val="24"/>
          <w:szCs w:val="24"/>
          <w:lang w:val="en-US"/>
        </w:rPr>
        <w:t>a</w:t>
      </w:r>
      <w:r w:rsidR="00D7325E" w:rsidRPr="00D56AF5">
        <w:rPr>
          <w:rFonts w:ascii="Garamond" w:hAnsi="Garamond"/>
          <w:sz w:val="24"/>
          <w:szCs w:val="24"/>
          <w:lang w:val="en-US"/>
        </w:rPr>
        <w:t xml:space="preserve"> </w:t>
      </w:r>
      <w:r w:rsidR="00963735">
        <w:rPr>
          <w:rFonts w:ascii="Garamond" w:hAnsi="Garamond"/>
          <w:sz w:val="24"/>
          <w:szCs w:val="24"/>
          <w:lang w:val="en-US"/>
        </w:rPr>
        <w:t xml:space="preserve">conclusive </w:t>
      </w:r>
      <w:r w:rsidR="00D7325E" w:rsidRPr="00D56AF5">
        <w:rPr>
          <w:rFonts w:ascii="Garamond" w:hAnsi="Garamond"/>
          <w:sz w:val="24"/>
          <w:szCs w:val="24"/>
          <w:lang w:val="en-US"/>
        </w:rPr>
        <w:t xml:space="preserve">legal </w:t>
      </w:r>
      <w:r w:rsidR="00963735">
        <w:rPr>
          <w:rFonts w:ascii="Garamond" w:hAnsi="Garamond"/>
          <w:sz w:val="24"/>
          <w:szCs w:val="24"/>
          <w:lang w:val="en-US"/>
        </w:rPr>
        <w:t>position on this</w:t>
      </w:r>
      <w:r>
        <w:rPr>
          <w:rFonts w:ascii="Garamond" w:hAnsi="Garamond"/>
          <w:sz w:val="24"/>
          <w:szCs w:val="24"/>
          <w:lang w:val="en-US"/>
        </w:rPr>
        <w:t xml:space="preserve">. </w:t>
      </w:r>
      <w:r w:rsidR="00D7325E" w:rsidRPr="00D56AF5">
        <w:rPr>
          <w:rFonts w:ascii="Garamond" w:hAnsi="Garamond"/>
          <w:sz w:val="24"/>
          <w:szCs w:val="24"/>
          <w:lang w:val="en-US"/>
        </w:rPr>
        <w:t xml:space="preserve">I will only focus on </w:t>
      </w:r>
      <w:r w:rsidR="00963735">
        <w:rPr>
          <w:rFonts w:ascii="Garamond" w:hAnsi="Garamond"/>
          <w:sz w:val="24"/>
          <w:szCs w:val="24"/>
          <w:lang w:val="en-US"/>
        </w:rPr>
        <w:t xml:space="preserve">ascertaining </w:t>
      </w:r>
      <w:r w:rsidR="00702794">
        <w:rPr>
          <w:rFonts w:ascii="Garamond" w:hAnsi="Garamond"/>
          <w:sz w:val="24"/>
          <w:szCs w:val="24"/>
          <w:lang w:val="en-US"/>
        </w:rPr>
        <w:t xml:space="preserve">the </w:t>
      </w:r>
      <w:r>
        <w:rPr>
          <w:rFonts w:ascii="Garamond" w:hAnsi="Garamond"/>
          <w:sz w:val="24"/>
          <w:szCs w:val="24"/>
          <w:lang w:val="en-US"/>
        </w:rPr>
        <w:t xml:space="preserve">normative desirability </w:t>
      </w:r>
      <w:r w:rsidR="00702794">
        <w:rPr>
          <w:rFonts w:ascii="Garamond" w:hAnsi="Garamond"/>
          <w:sz w:val="24"/>
          <w:szCs w:val="24"/>
          <w:lang w:val="en-US"/>
        </w:rPr>
        <w:t xml:space="preserve">of the </w:t>
      </w:r>
      <w:r w:rsidR="00D7325E" w:rsidRPr="00D56AF5">
        <w:rPr>
          <w:rFonts w:ascii="Garamond" w:hAnsi="Garamond"/>
          <w:sz w:val="24"/>
          <w:szCs w:val="24"/>
          <w:lang w:val="en-US"/>
        </w:rPr>
        <w:t>Prior Consent Route</w:t>
      </w:r>
      <w:r w:rsidR="00702794">
        <w:rPr>
          <w:rFonts w:ascii="Garamond" w:hAnsi="Garamond"/>
          <w:sz w:val="24"/>
          <w:szCs w:val="24"/>
          <w:lang w:val="en-US"/>
        </w:rPr>
        <w:t xml:space="preserve">. </w:t>
      </w:r>
      <w:r>
        <w:rPr>
          <w:rFonts w:ascii="Garamond" w:hAnsi="Garamond"/>
          <w:sz w:val="24"/>
          <w:szCs w:val="24"/>
          <w:lang w:val="en-US"/>
        </w:rPr>
        <w:t xml:space="preserve">In this regard, </w:t>
      </w:r>
      <w:r w:rsidR="0072544A">
        <w:rPr>
          <w:rFonts w:ascii="Garamond" w:hAnsi="Garamond"/>
          <w:sz w:val="24"/>
          <w:szCs w:val="24"/>
          <w:lang w:val="en-US"/>
        </w:rPr>
        <w:t>Buchanan provides an account of criteria that impose “significant constraints on what counts as an acceptable proposal” for a new international legal right.</w:t>
      </w:r>
      <w:r w:rsidR="0072544A">
        <w:rPr>
          <w:rStyle w:val="FootnoteReference"/>
          <w:rFonts w:ascii="Garamond" w:hAnsi="Garamond"/>
          <w:sz w:val="24"/>
          <w:szCs w:val="24"/>
          <w:lang w:val="en-US"/>
        </w:rPr>
        <w:footnoteReference w:id="223"/>
      </w:r>
      <w:r w:rsidR="0072544A">
        <w:rPr>
          <w:rFonts w:ascii="Garamond" w:hAnsi="Garamond"/>
          <w:sz w:val="24"/>
          <w:szCs w:val="24"/>
          <w:lang w:val="en-US"/>
        </w:rPr>
        <w:t xml:space="preserve"> This includes</w:t>
      </w:r>
      <w:r>
        <w:rPr>
          <w:rFonts w:ascii="Garamond" w:hAnsi="Garamond"/>
          <w:sz w:val="24"/>
          <w:szCs w:val="24"/>
          <w:lang w:val="en-US"/>
        </w:rPr>
        <w:t xml:space="preserve"> a proposal </w:t>
      </w:r>
      <w:r w:rsidR="00963735">
        <w:rPr>
          <w:rFonts w:ascii="Garamond" w:hAnsi="Garamond"/>
          <w:sz w:val="24"/>
          <w:szCs w:val="24"/>
          <w:lang w:val="en-US"/>
        </w:rPr>
        <w:t>that</w:t>
      </w:r>
      <w:r w:rsidR="0072544A">
        <w:rPr>
          <w:rFonts w:ascii="Garamond" w:hAnsi="Garamond"/>
          <w:sz w:val="24"/>
          <w:szCs w:val="24"/>
          <w:lang w:val="en-US"/>
        </w:rPr>
        <w:t xml:space="preserve">: </w:t>
      </w:r>
    </w:p>
    <w:p w14:paraId="47743279" w14:textId="0E9A231B" w:rsidR="0072544A" w:rsidRDefault="00963735" w:rsidP="001340AF">
      <w:pPr>
        <w:pStyle w:val="ListParagraph"/>
        <w:numPr>
          <w:ilvl w:val="0"/>
          <w:numId w:val="41"/>
        </w:numPr>
        <w:spacing w:after="120" w:line="480" w:lineRule="auto"/>
        <w:jc w:val="both"/>
        <w:rPr>
          <w:rFonts w:ascii="Garamond" w:hAnsi="Garamond"/>
          <w:sz w:val="24"/>
          <w:szCs w:val="24"/>
          <w:lang w:val="en-US"/>
        </w:rPr>
      </w:pPr>
      <w:r>
        <w:rPr>
          <w:rFonts w:ascii="Garamond" w:hAnsi="Garamond"/>
          <w:sz w:val="24"/>
          <w:szCs w:val="24"/>
          <w:lang w:val="en-US"/>
        </w:rPr>
        <w:t>I</w:t>
      </w:r>
      <w:r w:rsidR="00EC1E7A">
        <w:rPr>
          <w:rFonts w:ascii="Garamond" w:hAnsi="Garamond"/>
          <w:sz w:val="24"/>
          <w:szCs w:val="24"/>
          <w:lang w:val="en-US"/>
        </w:rPr>
        <w:t xml:space="preserve">s </w:t>
      </w:r>
      <w:r w:rsidR="00D7325E">
        <w:rPr>
          <w:rFonts w:ascii="Garamond" w:hAnsi="Garamond"/>
          <w:sz w:val="24"/>
          <w:szCs w:val="24"/>
          <w:lang w:val="en-US"/>
        </w:rPr>
        <w:t>m</w:t>
      </w:r>
      <w:r w:rsidR="0072544A">
        <w:rPr>
          <w:rFonts w:ascii="Garamond" w:hAnsi="Garamond"/>
          <w:sz w:val="24"/>
          <w:szCs w:val="24"/>
          <w:lang w:val="en-US"/>
        </w:rPr>
        <w:t>orally progressive and minimally realistic</w:t>
      </w:r>
      <w:r w:rsidR="00D7325E">
        <w:rPr>
          <w:rFonts w:ascii="Garamond" w:hAnsi="Garamond"/>
          <w:sz w:val="24"/>
          <w:szCs w:val="24"/>
          <w:lang w:val="en-US"/>
        </w:rPr>
        <w:t xml:space="preserve"> i.e., </w:t>
      </w:r>
      <w:r w:rsidR="00EC1E7A">
        <w:rPr>
          <w:rFonts w:ascii="Garamond" w:hAnsi="Garamond"/>
          <w:sz w:val="24"/>
          <w:szCs w:val="24"/>
          <w:lang w:val="en-US"/>
        </w:rPr>
        <w:t xml:space="preserve">it </w:t>
      </w:r>
      <w:r w:rsidR="0072544A">
        <w:rPr>
          <w:rFonts w:ascii="Garamond" w:hAnsi="Garamond"/>
          <w:sz w:val="24"/>
          <w:szCs w:val="24"/>
          <w:lang w:val="en-US"/>
        </w:rPr>
        <w:t>would improve on the status quo</w:t>
      </w:r>
      <w:r w:rsidR="00D7325E">
        <w:rPr>
          <w:rFonts w:ascii="Garamond" w:hAnsi="Garamond"/>
          <w:sz w:val="24"/>
          <w:szCs w:val="24"/>
          <w:lang w:val="en-US"/>
        </w:rPr>
        <w:t xml:space="preserve"> by better serving basic </w:t>
      </w:r>
      <w:proofErr w:type="gramStart"/>
      <w:r w:rsidR="00D7325E">
        <w:rPr>
          <w:rFonts w:ascii="Garamond" w:hAnsi="Garamond"/>
          <w:sz w:val="24"/>
          <w:szCs w:val="24"/>
          <w:lang w:val="en-US"/>
        </w:rPr>
        <w:t>values,</w:t>
      </w:r>
      <w:r w:rsidR="0072544A">
        <w:rPr>
          <w:rFonts w:ascii="Garamond" w:hAnsi="Garamond"/>
          <w:sz w:val="24"/>
          <w:szCs w:val="24"/>
          <w:lang w:val="en-US"/>
        </w:rPr>
        <w:t xml:space="preserve"> and</w:t>
      </w:r>
      <w:proofErr w:type="gramEnd"/>
      <w:r w:rsidR="0072544A">
        <w:rPr>
          <w:rFonts w:ascii="Garamond" w:hAnsi="Garamond"/>
          <w:sz w:val="24"/>
          <w:szCs w:val="24"/>
          <w:lang w:val="en-US"/>
        </w:rPr>
        <w:t xml:space="preserve"> has a significant prospect of being accepted by states.  </w:t>
      </w:r>
    </w:p>
    <w:p w14:paraId="4CC441C0" w14:textId="61ECC0E1" w:rsidR="0072544A" w:rsidRDefault="00EC1E7A" w:rsidP="001340AF">
      <w:pPr>
        <w:pStyle w:val="ListParagraph"/>
        <w:numPr>
          <w:ilvl w:val="0"/>
          <w:numId w:val="41"/>
        </w:numPr>
        <w:spacing w:after="120" w:line="480" w:lineRule="auto"/>
        <w:jc w:val="both"/>
        <w:rPr>
          <w:rFonts w:ascii="Garamond" w:hAnsi="Garamond"/>
          <w:sz w:val="24"/>
          <w:szCs w:val="24"/>
          <w:lang w:val="en-US"/>
        </w:rPr>
      </w:pPr>
      <w:r>
        <w:rPr>
          <w:rFonts w:ascii="Garamond" w:hAnsi="Garamond"/>
          <w:sz w:val="24"/>
          <w:szCs w:val="24"/>
          <w:lang w:val="en-US"/>
        </w:rPr>
        <w:t xml:space="preserve">Is consistent </w:t>
      </w:r>
      <w:r w:rsidR="00D7325E">
        <w:rPr>
          <w:rFonts w:ascii="Garamond" w:hAnsi="Garamond"/>
          <w:sz w:val="24"/>
          <w:szCs w:val="24"/>
          <w:lang w:val="en-US"/>
        </w:rPr>
        <w:t>with well-entrenched, morally progressive principles of international law</w:t>
      </w:r>
      <w:r>
        <w:rPr>
          <w:rFonts w:ascii="Garamond" w:hAnsi="Garamond"/>
          <w:sz w:val="24"/>
          <w:szCs w:val="24"/>
          <w:lang w:val="en-US"/>
        </w:rPr>
        <w:t xml:space="preserve">. </w:t>
      </w:r>
    </w:p>
    <w:p w14:paraId="47B9B300" w14:textId="170D398F" w:rsidR="0072544A" w:rsidRDefault="00963735" w:rsidP="001340AF">
      <w:pPr>
        <w:pStyle w:val="ListParagraph"/>
        <w:numPr>
          <w:ilvl w:val="0"/>
          <w:numId w:val="41"/>
        </w:numPr>
        <w:spacing w:after="120" w:line="480" w:lineRule="auto"/>
        <w:jc w:val="both"/>
        <w:rPr>
          <w:rFonts w:ascii="Garamond" w:hAnsi="Garamond"/>
          <w:sz w:val="24"/>
          <w:szCs w:val="24"/>
          <w:lang w:val="en-US"/>
        </w:rPr>
      </w:pPr>
      <w:r>
        <w:rPr>
          <w:rFonts w:ascii="Garamond" w:hAnsi="Garamond"/>
          <w:sz w:val="24"/>
          <w:szCs w:val="24"/>
          <w:lang w:val="en-US"/>
        </w:rPr>
        <w:t>D</w:t>
      </w:r>
      <w:r w:rsidR="00EC1E7A">
        <w:rPr>
          <w:rFonts w:ascii="Garamond" w:hAnsi="Garamond"/>
          <w:sz w:val="24"/>
          <w:szCs w:val="24"/>
          <w:lang w:val="en-US"/>
        </w:rPr>
        <w:t xml:space="preserve">oes </w:t>
      </w:r>
      <w:r w:rsidR="00D7325E">
        <w:rPr>
          <w:rFonts w:ascii="Garamond" w:hAnsi="Garamond"/>
          <w:sz w:val="24"/>
          <w:szCs w:val="24"/>
          <w:lang w:val="en-US"/>
        </w:rPr>
        <w:t>not create perverse incentives o</w:t>
      </w:r>
      <w:r w:rsidR="00EC1E7A">
        <w:rPr>
          <w:rFonts w:ascii="Garamond" w:hAnsi="Garamond"/>
          <w:sz w:val="24"/>
          <w:szCs w:val="24"/>
          <w:lang w:val="en-US"/>
        </w:rPr>
        <w:t>r</w:t>
      </w:r>
      <w:r w:rsidR="00D7325E">
        <w:rPr>
          <w:rFonts w:ascii="Garamond" w:hAnsi="Garamond"/>
          <w:sz w:val="24"/>
          <w:szCs w:val="24"/>
          <w:lang w:val="en-US"/>
        </w:rPr>
        <w:t xml:space="preserve"> obstruct the attainment of morally progressive goals like conflict resolution.</w:t>
      </w:r>
    </w:p>
    <w:p w14:paraId="662AF1FF" w14:textId="262124E7" w:rsidR="00D7325E" w:rsidRPr="0072544A" w:rsidRDefault="00EC1E7A" w:rsidP="001340AF">
      <w:pPr>
        <w:pStyle w:val="ListParagraph"/>
        <w:numPr>
          <w:ilvl w:val="0"/>
          <w:numId w:val="41"/>
        </w:numPr>
        <w:spacing w:after="120" w:line="480" w:lineRule="auto"/>
        <w:jc w:val="both"/>
        <w:rPr>
          <w:rFonts w:ascii="Garamond" w:hAnsi="Garamond"/>
          <w:sz w:val="24"/>
          <w:szCs w:val="24"/>
          <w:lang w:val="en-US"/>
        </w:rPr>
      </w:pPr>
      <w:r>
        <w:rPr>
          <w:rFonts w:ascii="Garamond" w:hAnsi="Garamond"/>
          <w:sz w:val="24"/>
          <w:szCs w:val="24"/>
          <w:lang w:val="en-US"/>
        </w:rPr>
        <w:t>Is</w:t>
      </w:r>
      <w:r w:rsidR="00D7325E">
        <w:rPr>
          <w:rFonts w:ascii="Garamond" w:hAnsi="Garamond"/>
          <w:sz w:val="24"/>
          <w:szCs w:val="24"/>
          <w:lang w:val="en-US"/>
        </w:rPr>
        <w:t xml:space="preserve"> morally accessibl</w:t>
      </w:r>
      <w:r>
        <w:rPr>
          <w:rFonts w:ascii="Garamond" w:hAnsi="Garamond"/>
          <w:sz w:val="24"/>
          <w:szCs w:val="24"/>
          <w:lang w:val="en-US"/>
        </w:rPr>
        <w:t xml:space="preserve">e </w:t>
      </w:r>
      <w:r w:rsidR="00D7325E">
        <w:rPr>
          <w:rFonts w:ascii="Garamond" w:hAnsi="Garamond"/>
          <w:sz w:val="24"/>
          <w:szCs w:val="24"/>
          <w:lang w:val="en-US"/>
        </w:rPr>
        <w:t xml:space="preserve">in the sense that its acceptance is not dependent on the state subscribing to a specific ethical theory.  </w:t>
      </w:r>
    </w:p>
    <w:p w14:paraId="366C5849" w14:textId="432B0370" w:rsidR="00C92C94" w:rsidRDefault="00963735" w:rsidP="001340AF">
      <w:pPr>
        <w:spacing w:after="120" w:line="480" w:lineRule="auto"/>
        <w:jc w:val="both"/>
        <w:rPr>
          <w:rFonts w:ascii="Garamond" w:hAnsi="Garamond"/>
          <w:sz w:val="24"/>
          <w:szCs w:val="24"/>
          <w:lang w:val="en-US"/>
        </w:rPr>
      </w:pPr>
      <w:r>
        <w:rPr>
          <w:rFonts w:ascii="Garamond" w:hAnsi="Garamond"/>
          <w:sz w:val="24"/>
          <w:szCs w:val="24"/>
          <w:lang w:val="en-US"/>
        </w:rPr>
        <w:t>If</w:t>
      </w:r>
      <w:r w:rsidR="00702794">
        <w:rPr>
          <w:rFonts w:ascii="Garamond" w:hAnsi="Garamond"/>
          <w:sz w:val="24"/>
          <w:szCs w:val="24"/>
          <w:lang w:val="en-US"/>
        </w:rPr>
        <w:t xml:space="preserve"> the Prior Consent Route perform</w:t>
      </w:r>
      <w:r>
        <w:rPr>
          <w:rFonts w:ascii="Garamond" w:hAnsi="Garamond"/>
          <w:sz w:val="24"/>
          <w:szCs w:val="24"/>
          <w:lang w:val="en-US"/>
        </w:rPr>
        <w:t>s</w:t>
      </w:r>
      <w:r w:rsidR="00702794">
        <w:rPr>
          <w:rFonts w:ascii="Garamond" w:hAnsi="Garamond"/>
          <w:sz w:val="24"/>
          <w:szCs w:val="24"/>
          <w:lang w:val="en-US"/>
        </w:rPr>
        <w:t xml:space="preserve"> </w:t>
      </w:r>
      <w:r>
        <w:rPr>
          <w:rFonts w:ascii="Garamond" w:hAnsi="Garamond"/>
          <w:sz w:val="24"/>
          <w:szCs w:val="24"/>
          <w:lang w:val="en-US"/>
        </w:rPr>
        <w:t xml:space="preserve">poorly </w:t>
      </w:r>
      <w:r w:rsidR="00702794">
        <w:rPr>
          <w:rFonts w:ascii="Garamond" w:hAnsi="Garamond"/>
          <w:sz w:val="24"/>
          <w:szCs w:val="24"/>
          <w:lang w:val="en-US"/>
        </w:rPr>
        <w:t xml:space="preserve">along these criteria, then there is strong reason to resist legal change in that direction. </w:t>
      </w:r>
      <w:r>
        <w:rPr>
          <w:rFonts w:ascii="Garamond" w:hAnsi="Garamond"/>
          <w:sz w:val="24"/>
          <w:szCs w:val="24"/>
          <w:lang w:val="en-US"/>
        </w:rPr>
        <w:t>Indeed, c</w:t>
      </w:r>
      <w:r w:rsidR="00C92C94">
        <w:rPr>
          <w:rFonts w:ascii="Garamond" w:hAnsi="Garamond"/>
          <w:sz w:val="24"/>
          <w:szCs w:val="24"/>
          <w:lang w:val="en-US"/>
        </w:rPr>
        <w:t xml:space="preserve">ertain </w:t>
      </w:r>
      <w:r w:rsidR="00702794">
        <w:rPr>
          <w:rFonts w:ascii="Garamond" w:hAnsi="Garamond"/>
          <w:sz w:val="24"/>
          <w:szCs w:val="24"/>
          <w:lang w:val="en-US"/>
        </w:rPr>
        <w:t>possibilities</w:t>
      </w:r>
      <w:r>
        <w:rPr>
          <w:rFonts w:ascii="Garamond" w:hAnsi="Garamond"/>
          <w:sz w:val="24"/>
          <w:szCs w:val="24"/>
          <w:lang w:val="en-US"/>
        </w:rPr>
        <w:t xml:space="preserve"> connected with features of this route, </w:t>
      </w:r>
      <w:r w:rsidR="00702794">
        <w:rPr>
          <w:rFonts w:ascii="Garamond" w:hAnsi="Garamond"/>
          <w:sz w:val="24"/>
          <w:szCs w:val="24"/>
          <w:lang w:val="en-US"/>
        </w:rPr>
        <w:t>are immediately troubling</w:t>
      </w:r>
      <w:r>
        <w:rPr>
          <w:rFonts w:ascii="Garamond" w:hAnsi="Garamond"/>
          <w:sz w:val="24"/>
          <w:szCs w:val="24"/>
          <w:lang w:val="en-US"/>
        </w:rPr>
        <w:t>:</w:t>
      </w:r>
      <w:r w:rsidR="00702794">
        <w:rPr>
          <w:rFonts w:ascii="Garamond" w:hAnsi="Garamond"/>
          <w:sz w:val="24"/>
          <w:szCs w:val="24"/>
          <w:lang w:val="en-US"/>
        </w:rPr>
        <w:t xml:space="preserve"> </w:t>
      </w:r>
    </w:p>
    <w:p w14:paraId="447CC589" w14:textId="2414DCD8" w:rsidR="009A4F34" w:rsidRPr="00B679CD" w:rsidRDefault="00A75FA7" w:rsidP="00B679CD">
      <w:pPr>
        <w:pStyle w:val="Heading3"/>
        <w:numPr>
          <w:ilvl w:val="2"/>
          <w:numId w:val="35"/>
        </w:numPr>
      </w:pPr>
      <w:bookmarkStart w:id="29" w:name="_Toc191740740"/>
      <w:r w:rsidRPr="00B679CD">
        <w:t>Risks of abuse because s</w:t>
      </w:r>
      <w:r w:rsidR="009A4F34" w:rsidRPr="00B679CD">
        <w:t>tanding authorizations lack specificity and meaningful revocability, and fail to capture the contemporaneous will of the state</w:t>
      </w:r>
      <w:bookmarkEnd w:id="29"/>
    </w:p>
    <w:p w14:paraId="5D49FB1F" w14:textId="798AB6C5" w:rsidR="00C92C94" w:rsidRPr="00C92C94" w:rsidRDefault="00C92C94" w:rsidP="001340AF">
      <w:pPr>
        <w:spacing w:after="120" w:line="480" w:lineRule="auto"/>
        <w:jc w:val="both"/>
        <w:rPr>
          <w:rFonts w:ascii="Garamond" w:hAnsi="Garamond"/>
          <w:sz w:val="24"/>
          <w:szCs w:val="24"/>
          <w:lang w:val="en-US"/>
        </w:rPr>
      </w:pPr>
      <w:r w:rsidRPr="00C92C94">
        <w:rPr>
          <w:rFonts w:ascii="Garamond" w:hAnsi="Garamond"/>
          <w:sz w:val="24"/>
          <w:szCs w:val="24"/>
          <w:lang w:val="en-US"/>
        </w:rPr>
        <w:t xml:space="preserve">Standing authorizations provide abstract rights of intervention that stretch across decades, and which </w:t>
      </w:r>
      <w:r w:rsidR="00C93AB0">
        <w:rPr>
          <w:rFonts w:ascii="Garamond" w:hAnsi="Garamond"/>
          <w:sz w:val="24"/>
          <w:szCs w:val="24"/>
          <w:lang w:val="en-US"/>
        </w:rPr>
        <w:t>can legally</w:t>
      </w:r>
      <w:r w:rsidRPr="00C92C94">
        <w:rPr>
          <w:rFonts w:ascii="Garamond" w:hAnsi="Garamond"/>
          <w:sz w:val="24"/>
          <w:szCs w:val="24"/>
          <w:lang w:val="en-US"/>
        </w:rPr>
        <w:t xml:space="preserve"> be exercised by the intervening state against the contemporaneous will of the </w:t>
      </w:r>
      <w:r w:rsidRPr="00C92C94">
        <w:rPr>
          <w:rFonts w:ascii="Garamond" w:hAnsi="Garamond"/>
          <w:sz w:val="24"/>
          <w:szCs w:val="24"/>
          <w:lang w:val="en-US"/>
        </w:rPr>
        <w:lastRenderedPageBreak/>
        <w:t>beleaguered state. In effect, they function like ‘blanket consent’</w:t>
      </w:r>
      <w:r w:rsidRPr="00D56AF5">
        <w:rPr>
          <w:vertAlign w:val="superscript"/>
          <w:lang w:val="en-US"/>
        </w:rPr>
        <w:footnoteReference w:id="224"/>
      </w:r>
      <w:r w:rsidRPr="00C92C94">
        <w:rPr>
          <w:rFonts w:ascii="Garamond" w:hAnsi="Garamond"/>
          <w:sz w:val="24"/>
          <w:szCs w:val="24"/>
          <w:lang w:val="en-US"/>
        </w:rPr>
        <w:t xml:space="preserve"> – a risky proposition in the absence of appendant obligations on intervening states.</w:t>
      </w:r>
    </w:p>
    <w:p w14:paraId="7A33CDCB" w14:textId="2F738F69" w:rsidR="00C92C94" w:rsidRPr="00D56AF5" w:rsidRDefault="00C92C94"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It could be argued that all treaties compel states to behave in ways contrary to contemporaneous will. But </w:t>
      </w:r>
      <w:r w:rsidR="003A1308">
        <w:rPr>
          <w:rFonts w:ascii="Garamond" w:hAnsi="Garamond"/>
          <w:sz w:val="24"/>
          <w:szCs w:val="24"/>
          <w:lang w:val="en-US"/>
        </w:rPr>
        <w:t xml:space="preserve">these </w:t>
      </w:r>
      <w:r w:rsidRPr="00D56AF5">
        <w:rPr>
          <w:rFonts w:ascii="Garamond" w:hAnsi="Garamond"/>
          <w:sz w:val="24"/>
          <w:szCs w:val="24"/>
          <w:lang w:val="en-US"/>
        </w:rPr>
        <w:t>standing authorizations are quite unlike other treaty obligations. Pro-democratic interventions are directed at a sphere of decision-making that is central to sovereignty.</w:t>
      </w:r>
      <w:r w:rsidRPr="00D56AF5">
        <w:rPr>
          <w:rFonts w:ascii="Garamond" w:hAnsi="Garamond"/>
          <w:sz w:val="24"/>
          <w:szCs w:val="24"/>
          <w:vertAlign w:val="superscript"/>
          <w:lang w:val="en-US"/>
        </w:rPr>
        <w:footnoteReference w:id="225"/>
      </w:r>
      <w:r w:rsidRPr="00D56AF5">
        <w:rPr>
          <w:rFonts w:ascii="Garamond" w:hAnsi="Garamond"/>
          <w:sz w:val="24"/>
          <w:szCs w:val="24"/>
          <w:lang w:val="en-US"/>
        </w:rPr>
        <w:t xml:space="preserve"> </w:t>
      </w:r>
      <w:r w:rsidR="00C93AB0">
        <w:rPr>
          <w:rFonts w:ascii="Garamond" w:hAnsi="Garamond"/>
          <w:sz w:val="24"/>
          <w:szCs w:val="24"/>
          <w:lang w:val="en-US"/>
        </w:rPr>
        <w:t>It</w:t>
      </w:r>
      <w:r w:rsidRPr="00D56AF5">
        <w:rPr>
          <w:rFonts w:ascii="Garamond" w:hAnsi="Garamond"/>
          <w:sz w:val="24"/>
          <w:szCs w:val="24"/>
          <w:lang w:val="en-US"/>
        </w:rPr>
        <w:t xml:space="preserve"> is an intervention that will determine the ‘constituted sovereign’ of a state – the institution that should emerge through the exercise of popular sovereignty and self-determination. A standing authorization is not merely a relinquishment of a part of the state’s sovereignty, but it effectively gives third states the rights to decide, </w:t>
      </w:r>
      <w:r w:rsidRPr="00D56AF5">
        <w:rPr>
          <w:rFonts w:ascii="Garamond" w:hAnsi="Garamond"/>
          <w:i/>
          <w:iCs/>
          <w:sz w:val="24"/>
          <w:szCs w:val="24"/>
          <w:lang w:val="en-US"/>
        </w:rPr>
        <w:t>with the use of force</w:t>
      </w:r>
      <w:r w:rsidRPr="00D56AF5">
        <w:rPr>
          <w:rFonts w:ascii="Garamond" w:hAnsi="Garamond"/>
          <w:sz w:val="24"/>
          <w:szCs w:val="24"/>
          <w:lang w:val="en-US"/>
        </w:rPr>
        <w:t>, who will form the government, and therefore who has the power to direct all future exercises of the state’s political independence on the international plane. Therefore, it would seem correct to prioritize the will of the state at the point of intervention.</w:t>
      </w:r>
      <w:r w:rsidRPr="00D56AF5">
        <w:rPr>
          <w:rFonts w:ascii="Garamond" w:hAnsi="Garamond"/>
          <w:sz w:val="24"/>
          <w:szCs w:val="24"/>
          <w:vertAlign w:val="superscript"/>
          <w:lang w:val="en-US"/>
        </w:rPr>
        <w:footnoteReference w:id="226"/>
      </w:r>
      <w:r w:rsidRPr="00D56AF5">
        <w:rPr>
          <w:rFonts w:ascii="Garamond" w:hAnsi="Garamond"/>
          <w:sz w:val="24"/>
          <w:szCs w:val="24"/>
          <w:lang w:val="en-US"/>
        </w:rPr>
        <w:t xml:space="preserve"> </w:t>
      </w:r>
    </w:p>
    <w:p w14:paraId="306AD66A" w14:textId="79D1BF60" w:rsidR="00C92C94" w:rsidRDefault="00C92C94" w:rsidP="001340AF">
      <w:pPr>
        <w:spacing w:after="120" w:line="480" w:lineRule="auto"/>
        <w:jc w:val="both"/>
        <w:rPr>
          <w:rFonts w:ascii="Garamond" w:hAnsi="Garamond"/>
          <w:sz w:val="24"/>
          <w:szCs w:val="24"/>
          <w:lang w:val="en-US"/>
        </w:rPr>
      </w:pPr>
      <w:r w:rsidRPr="00D56AF5">
        <w:rPr>
          <w:rFonts w:ascii="Garamond" w:hAnsi="Garamond"/>
          <w:sz w:val="24"/>
          <w:szCs w:val="24"/>
          <w:lang w:val="en-US"/>
        </w:rPr>
        <w:t>Further, while states possess a right of revocation, this must proceed according to treaty-stipulated conditions. Practically, a provision for revocation can easily be rendered redundant</w:t>
      </w:r>
      <w:r w:rsidR="003A1308">
        <w:rPr>
          <w:rFonts w:ascii="Garamond" w:hAnsi="Garamond"/>
          <w:sz w:val="24"/>
          <w:szCs w:val="24"/>
          <w:lang w:val="en-US"/>
        </w:rPr>
        <w:t xml:space="preserve"> by third states, by</w:t>
      </w:r>
      <w:r w:rsidRPr="00D56AF5">
        <w:rPr>
          <w:rFonts w:ascii="Garamond" w:hAnsi="Garamond"/>
          <w:sz w:val="24"/>
          <w:szCs w:val="24"/>
          <w:lang w:val="en-US"/>
        </w:rPr>
        <w:t xml:space="preserve"> install</w:t>
      </w:r>
      <w:r w:rsidR="003A1308">
        <w:rPr>
          <w:rFonts w:ascii="Garamond" w:hAnsi="Garamond"/>
          <w:sz w:val="24"/>
          <w:szCs w:val="24"/>
          <w:lang w:val="en-US"/>
        </w:rPr>
        <w:t>ing</w:t>
      </w:r>
      <w:r w:rsidRPr="00D56AF5">
        <w:rPr>
          <w:rFonts w:ascii="Garamond" w:hAnsi="Garamond"/>
          <w:sz w:val="24"/>
          <w:szCs w:val="24"/>
          <w:lang w:val="en-US"/>
        </w:rPr>
        <w:t xml:space="preserve"> sympathetic regimes that are unlikely to repudiate the intervention or effectuate their withdrawal from the treaty. </w:t>
      </w:r>
    </w:p>
    <w:p w14:paraId="4898E60A" w14:textId="282D3CDB" w:rsidR="00A75FA7" w:rsidRPr="009A4F34" w:rsidRDefault="00A75FA7" w:rsidP="001340AF">
      <w:pPr>
        <w:spacing w:after="120" w:line="480" w:lineRule="auto"/>
        <w:jc w:val="both"/>
        <w:rPr>
          <w:rFonts w:ascii="Garamond" w:hAnsi="Garamond"/>
          <w:sz w:val="24"/>
          <w:szCs w:val="24"/>
          <w:lang w:val="en-US"/>
        </w:rPr>
      </w:pPr>
      <w:r>
        <w:rPr>
          <w:rFonts w:ascii="Garamond" w:hAnsi="Garamond"/>
          <w:sz w:val="24"/>
          <w:szCs w:val="24"/>
          <w:lang w:val="en-US"/>
        </w:rPr>
        <w:t xml:space="preserve">There is a startling ease then, with which </w:t>
      </w:r>
      <w:r w:rsidRPr="009A4F34">
        <w:rPr>
          <w:rFonts w:ascii="Garamond" w:hAnsi="Garamond"/>
          <w:sz w:val="24"/>
          <w:szCs w:val="24"/>
          <w:lang w:val="en-US"/>
        </w:rPr>
        <w:t xml:space="preserve">states can abuse these mechanisms. Commentators have flagged risks of neo-colonization at the hands of more powerful regional actors, or global hegemons. </w:t>
      </w:r>
    </w:p>
    <w:p w14:paraId="72E04406" w14:textId="5B4F84E7" w:rsidR="00A75FA7" w:rsidRPr="001340AF" w:rsidRDefault="00A75FA7" w:rsidP="00B679CD">
      <w:pPr>
        <w:pStyle w:val="Heading3"/>
        <w:numPr>
          <w:ilvl w:val="2"/>
          <w:numId w:val="35"/>
        </w:numPr>
        <w:rPr>
          <w:lang w:val="en-US"/>
        </w:rPr>
      </w:pPr>
      <w:bookmarkStart w:id="30" w:name="_Toc191740741"/>
      <w:r w:rsidRPr="001340AF">
        <w:rPr>
          <w:lang w:val="en-US"/>
        </w:rPr>
        <w:lastRenderedPageBreak/>
        <w:t>The intervening states or organizations lack features respecting subsidiarity</w:t>
      </w:r>
      <w:r w:rsidR="00226400" w:rsidRPr="001340AF">
        <w:rPr>
          <w:lang w:val="en-US"/>
        </w:rPr>
        <w:t xml:space="preserve"> and </w:t>
      </w:r>
      <w:r w:rsidR="00C93AB0">
        <w:rPr>
          <w:lang w:val="en-US"/>
        </w:rPr>
        <w:t xml:space="preserve">justification for </w:t>
      </w:r>
      <w:r w:rsidR="003A1308" w:rsidRPr="001340AF">
        <w:rPr>
          <w:lang w:val="en-US"/>
        </w:rPr>
        <w:t>standing to make mistakes</w:t>
      </w:r>
      <w:bookmarkEnd w:id="30"/>
      <w:r w:rsidR="003A1308" w:rsidRPr="001340AF">
        <w:rPr>
          <w:lang w:val="en-US"/>
        </w:rPr>
        <w:t xml:space="preserve"> </w:t>
      </w:r>
    </w:p>
    <w:p w14:paraId="05C9B083" w14:textId="67297E60" w:rsidR="00C07AFF" w:rsidRPr="00A75FA7" w:rsidRDefault="00702794" w:rsidP="001340AF">
      <w:pPr>
        <w:spacing w:after="120" w:line="480" w:lineRule="auto"/>
        <w:jc w:val="both"/>
        <w:rPr>
          <w:rFonts w:ascii="Garamond" w:hAnsi="Garamond"/>
          <w:sz w:val="24"/>
          <w:szCs w:val="24"/>
          <w:lang w:val="en-US"/>
        </w:rPr>
      </w:pPr>
      <w:r w:rsidRPr="00A75FA7">
        <w:rPr>
          <w:rFonts w:ascii="Garamond" w:hAnsi="Garamond"/>
          <w:sz w:val="24"/>
          <w:szCs w:val="24"/>
          <w:lang w:val="en-US"/>
        </w:rPr>
        <w:t>If third states or regional organizations are mistaken about the costs and benefits of intervention, it begs the question whether they have a justified standing to make those decisions for the state.</w:t>
      </w:r>
    </w:p>
    <w:p w14:paraId="3D574618" w14:textId="06ED73AA" w:rsidR="00C92C94" w:rsidRPr="00D56AF5" w:rsidRDefault="00C92C94" w:rsidP="001340AF">
      <w:pPr>
        <w:spacing w:after="120" w:line="480" w:lineRule="auto"/>
        <w:jc w:val="both"/>
        <w:rPr>
          <w:rFonts w:ascii="Garamond" w:hAnsi="Garamond"/>
          <w:sz w:val="24"/>
          <w:szCs w:val="24"/>
          <w:lang w:val="en-US"/>
        </w:rPr>
      </w:pPr>
      <w:r w:rsidRPr="00C92C94">
        <w:rPr>
          <w:rFonts w:ascii="Garamond" w:hAnsi="Garamond"/>
          <w:sz w:val="24"/>
          <w:szCs w:val="24"/>
          <w:lang w:val="en-US"/>
        </w:rPr>
        <w:t xml:space="preserve">There is one treaty-based standing authorization that seems </w:t>
      </w:r>
      <w:proofErr w:type="gramStart"/>
      <w:r w:rsidRPr="00C92C94">
        <w:rPr>
          <w:rFonts w:ascii="Garamond" w:hAnsi="Garamond"/>
          <w:sz w:val="24"/>
          <w:szCs w:val="24"/>
          <w:lang w:val="en-US"/>
        </w:rPr>
        <w:t>fairly uncontroversial</w:t>
      </w:r>
      <w:proofErr w:type="gramEnd"/>
      <w:r w:rsidRPr="00C92C94">
        <w:rPr>
          <w:rFonts w:ascii="Garamond" w:hAnsi="Garamond"/>
          <w:sz w:val="24"/>
          <w:szCs w:val="24"/>
          <w:lang w:val="en-US"/>
        </w:rPr>
        <w:t xml:space="preserve"> – the UN Charter. Chapter VII of the Charter enables the UNSC to authorize military intervention in any member state in the interests of international peace and security. </w:t>
      </w:r>
      <w:r w:rsidRPr="00D56AF5">
        <w:rPr>
          <w:rFonts w:ascii="Garamond" w:hAnsi="Garamond"/>
          <w:sz w:val="24"/>
          <w:szCs w:val="24"/>
          <w:lang w:val="en-US"/>
        </w:rPr>
        <w:t xml:space="preserve">I will not sketch out a detailed defense of the UNSC’s legitimacy in holding such a right. That is a complex topic </w:t>
      </w:r>
      <w:r w:rsidR="00C93AB0">
        <w:rPr>
          <w:rFonts w:ascii="Garamond" w:hAnsi="Garamond"/>
          <w:sz w:val="24"/>
          <w:szCs w:val="24"/>
          <w:lang w:val="en-US"/>
        </w:rPr>
        <w:t>deserving s</w:t>
      </w:r>
      <w:r w:rsidRPr="00D56AF5">
        <w:rPr>
          <w:rFonts w:ascii="Garamond" w:hAnsi="Garamond"/>
          <w:sz w:val="24"/>
          <w:szCs w:val="24"/>
          <w:lang w:val="en-US"/>
        </w:rPr>
        <w:t>eparate study. However, I will apply the principle of subsidiarity to venture some reasons for why, in theory, the UN Charter and the UNSC may be considered more legitimate than regional treaties and organizations in possessing a standing right of intervention.</w:t>
      </w:r>
    </w:p>
    <w:p w14:paraId="5828DD43" w14:textId="77777777" w:rsidR="00C92C94" w:rsidRPr="00D56AF5" w:rsidRDefault="00C92C94" w:rsidP="001340AF">
      <w:pPr>
        <w:spacing w:after="120" w:line="480" w:lineRule="auto"/>
        <w:jc w:val="both"/>
        <w:rPr>
          <w:rFonts w:ascii="Garamond" w:hAnsi="Garamond"/>
          <w:sz w:val="24"/>
          <w:szCs w:val="24"/>
          <w:lang w:val="en-US"/>
        </w:rPr>
      </w:pPr>
      <w:r w:rsidRPr="00D56AF5">
        <w:rPr>
          <w:rFonts w:ascii="Garamond" w:hAnsi="Garamond"/>
          <w:sz w:val="24"/>
          <w:szCs w:val="24"/>
          <w:lang w:val="en-US"/>
        </w:rPr>
        <w:t>The UN Charter constructs the legal architecture of collective security for the modern international legal system.</w:t>
      </w:r>
      <w:r w:rsidRPr="00D56AF5">
        <w:rPr>
          <w:rStyle w:val="FootnoteReference"/>
          <w:rFonts w:ascii="Garamond" w:hAnsi="Garamond"/>
          <w:sz w:val="24"/>
          <w:szCs w:val="24"/>
          <w:lang w:val="en-US"/>
        </w:rPr>
        <w:footnoteReference w:id="227"/>
      </w:r>
      <w:r w:rsidRPr="00D56AF5">
        <w:rPr>
          <w:rFonts w:ascii="Garamond" w:hAnsi="Garamond"/>
          <w:sz w:val="24"/>
          <w:szCs w:val="24"/>
          <w:lang w:val="en-US"/>
        </w:rPr>
        <w:t xml:space="preserve"> The scheme of the UN Charter makes clear that the UNSC has jurisdictional pre-emption in matters concerning peace and security because the UNSC has primary responsibility for the maintenance of international peace and security.</w:t>
      </w:r>
      <w:r w:rsidRPr="00D56AF5">
        <w:rPr>
          <w:rStyle w:val="FootnoteReference"/>
          <w:rFonts w:ascii="Garamond" w:hAnsi="Garamond"/>
          <w:sz w:val="24"/>
          <w:szCs w:val="24"/>
          <w:lang w:val="en-US"/>
        </w:rPr>
        <w:footnoteReference w:id="228"/>
      </w:r>
      <w:r w:rsidRPr="00D56AF5">
        <w:rPr>
          <w:rFonts w:ascii="Garamond" w:hAnsi="Garamond"/>
          <w:sz w:val="24"/>
          <w:szCs w:val="24"/>
          <w:lang w:val="en-US"/>
        </w:rPr>
        <w:t xml:space="preserve"> Additionally, the Charter lays out all the basic norms governing uses of force. This has prompted some to refer to the Charter as the ‘constitution of the international community’.</w:t>
      </w:r>
      <w:r w:rsidRPr="00D56AF5">
        <w:rPr>
          <w:rStyle w:val="FootnoteReference"/>
          <w:rFonts w:ascii="Garamond" w:hAnsi="Garamond"/>
          <w:sz w:val="24"/>
          <w:szCs w:val="24"/>
          <w:lang w:val="en-US"/>
        </w:rPr>
        <w:footnoteReference w:id="229"/>
      </w:r>
      <w:r w:rsidRPr="00D56AF5">
        <w:rPr>
          <w:rFonts w:ascii="Garamond" w:hAnsi="Garamond"/>
          <w:sz w:val="24"/>
          <w:szCs w:val="24"/>
          <w:lang w:val="en-US"/>
        </w:rPr>
        <w:t xml:space="preserve"> </w:t>
      </w:r>
    </w:p>
    <w:p w14:paraId="32BD2550" w14:textId="77777777" w:rsidR="00C92C94" w:rsidRPr="00D56AF5" w:rsidRDefault="00C92C94"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Within this system, both states and regional organizations can use force only with the prior authorization of the UNSC. Although states possess a right of self-defense, this is exercisable to the extent that the UNSC has not </w:t>
      </w:r>
      <w:proofErr w:type="gramStart"/>
      <w:r w:rsidRPr="00D56AF5">
        <w:rPr>
          <w:rFonts w:ascii="Garamond" w:hAnsi="Garamond"/>
          <w:sz w:val="24"/>
          <w:szCs w:val="24"/>
          <w:lang w:val="en-US"/>
        </w:rPr>
        <w:t>taken action</w:t>
      </w:r>
      <w:proofErr w:type="gramEnd"/>
      <w:r w:rsidRPr="00D56AF5">
        <w:rPr>
          <w:rFonts w:ascii="Garamond" w:hAnsi="Garamond"/>
          <w:sz w:val="24"/>
          <w:szCs w:val="24"/>
          <w:lang w:val="en-US"/>
        </w:rPr>
        <w:t>.</w:t>
      </w:r>
      <w:r w:rsidRPr="00D56AF5">
        <w:rPr>
          <w:rStyle w:val="FootnoteReference"/>
          <w:rFonts w:ascii="Garamond" w:hAnsi="Garamond"/>
          <w:sz w:val="24"/>
          <w:szCs w:val="24"/>
          <w:lang w:val="en-US"/>
        </w:rPr>
        <w:footnoteReference w:id="230"/>
      </w:r>
      <w:r w:rsidRPr="00D56AF5">
        <w:rPr>
          <w:rFonts w:ascii="Garamond" w:hAnsi="Garamond"/>
          <w:sz w:val="24"/>
          <w:szCs w:val="24"/>
          <w:lang w:val="en-US"/>
        </w:rPr>
        <w:t xml:space="preserve"> Invitations, as we have already seen, must be issued by legitimate state representatives – a matter in which the UNSC has significant powers of </w:t>
      </w:r>
      <w:r w:rsidRPr="00D56AF5">
        <w:rPr>
          <w:rFonts w:ascii="Garamond" w:hAnsi="Garamond"/>
          <w:sz w:val="24"/>
          <w:szCs w:val="24"/>
          <w:lang w:val="en-US"/>
        </w:rPr>
        <w:lastRenderedPageBreak/>
        <w:t>pronouncement. Obligations under the UN Charter also take precedence over all other treaty obligations under international law.</w:t>
      </w:r>
      <w:r w:rsidRPr="00D56AF5">
        <w:rPr>
          <w:rStyle w:val="FootnoteReference"/>
          <w:rFonts w:ascii="Garamond" w:hAnsi="Garamond"/>
          <w:sz w:val="24"/>
          <w:szCs w:val="24"/>
          <w:lang w:val="en-US"/>
        </w:rPr>
        <w:footnoteReference w:id="231"/>
      </w:r>
      <w:r w:rsidRPr="00D56AF5">
        <w:rPr>
          <w:rFonts w:ascii="Garamond" w:hAnsi="Garamond"/>
          <w:sz w:val="24"/>
          <w:szCs w:val="24"/>
          <w:lang w:val="en-US"/>
        </w:rPr>
        <w:t xml:space="preserve"> The Charter therefore represents a scheme of subsidiarity, allocating powers and governing relations between the UN organs, regional organizations, and states, in respect of uses of force Accordingly, a state or a regional organization would have to provide extremely compelling reasons to depart from the Charter’s framework of collective security. Any unjustified circumvention would merely undermine the authority of the Charter and the UNSC. </w:t>
      </w:r>
      <w:r>
        <w:rPr>
          <w:rFonts w:ascii="Garamond" w:hAnsi="Garamond"/>
          <w:sz w:val="24"/>
          <w:szCs w:val="24"/>
          <w:lang w:val="en-US"/>
        </w:rPr>
        <w:t xml:space="preserve"> </w:t>
      </w:r>
    </w:p>
    <w:p w14:paraId="1D4D3CF7" w14:textId="77777777" w:rsidR="00C92C94" w:rsidRPr="00D56AF5" w:rsidRDefault="00C92C94" w:rsidP="001340AF">
      <w:pPr>
        <w:spacing w:after="120" w:line="480" w:lineRule="auto"/>
        <w:jc w:val="both"/>
        <w:rPr>
          <w:rFonts w:ascii="Garamond" w:hAnsi="Garamond"/>
          <w:sz w:val="24"/>
          <w:szCs w:val="24"/>
          <w:lang w:val="en-US"/>
        </w:rPr>
      </w:pPr>
      <w:r w:rsidRPr="00D56AF5">
        <w:rPr>
          <w:rFonts w:ascii="Garamond" w:hAnsi="Garamond"/>
          <w:sz w:val="24"/>
          <w:szCs w:val="24"/>
          <w:lang w:val="en-US"/>
        </w:rPr>
        <w:t>Regional organizations would also have to show that they are constrained to respect sovereignty and justify their interventions, in the same way as the UNSC. Article 2(7) read in conjunction with Chapter VII of the Charter, encapsulates the essence of subsidiarity in the relations between states and the UN. The UNSC cannot intervene in matters falling under the domestic jurisdiction of states.</w:t>
      </w:r>
      <w:r w:rsidRPr="00D56AF5">
        <w:rPr>
          <w:rStyle w:val="FootnoteReference"/>
          <w:rFonts w:ascii="Garamond" w:hAnsi="Garamond"/>
          <w:sz w:val="24"/>
          <w:szCs w:val="24"/>
          <w:lang w:val="en-US"/>
        </w:rPr>
        <w:footnoteReference w:id="232"/>
      </w:r>
      <w:r w:rsidRPr="00D56AF5">
        <w:rPr>
          <w:rFonts w:ascii="Garamond" w:hAnsi="Garamond"/>
          <w:sz w:val="24"/>
          <w:szCs w:val="24"/>
          <w:lang w:val="en-US"/>
        </w:rPr>
        <w:t xml:space="preserve"> It can only authorize military intervention when it observes a threat to international peace and security. Although what falls within the domestic jurisdiction of states is a function of international relations,</w:t>
      </w:r>
      <w:r w:rsidRPr="00D56AF5">
        <w:rPr>
          <w:rStyle w:val="FootnoteReference"/>
          <w:rFonts w:ascii="Garamond" w:hAnsi="Garamond"/>
          <w:sz w:val="24"/>
          <w:szCs w:val="24"/>
          <w:lang w:val="en-US"/>
        </w:rPr>
        <w:footnoteReference w:id="233"/>
      </w:r>
      <w:r w:rsidRPr="00D56AF5">
        <w:rPr>
          <w:rFonts w:ascii="Garamond" w:hAnsi="Garamond"/>
          <w:sz w:val="24"/>
          <w:szCs w:val="24"/>
          <w:lang w:val="en-US"/>
        </w:rPr>
        <w:t xml:space="preserve"> not all internal unrest invokes the interests of the international community. In most cases, the UNSC simply supports electoral processes or dispatches peace-keeping forces. Many pro-democratic interventions have been authorized where other graver interests have been implicated such as the commission of crimes contrary to jus cogens norms, threats of internal secession, and transnational terrorist activities.</w:t>
      </w:r>
      <w:r w:rsidRPr="00D56AF5">
        <w:rPr>
          <w:rStyle w:val="FootnoteReference"/>
          <w:rFonts w:ascii="Garamond" w:hAnsi="Garamond"/>
          <w:sz w:val="24"/>
          <w:szCs w:val="24"/>
          <w:lang w:val="en-US"/>
        </w:rPr>
        <w:footnoteReference w:id="234"/>
      </w:r>
    </w:p>
    <w:p w14:paraId="37288D79" w14:textId="77777777" w:rsidR="00C92C94" w:rsidRPr="00D56AF5" w:rsidRDefault="00C92C94" w:rsidP="001340AF">
      <w:pPr>
        <w:spacing w:after="120" w:line="480" w:lineRule="auto"/>
        <w:jc w:val="both"/>
        <w:rPr>
          <w:rFonts w:ascii="Garamond" w:hAnsi="Garamond"/>
          <w:sz w:val="24"/>
          <w:szCs w:val="24"/>
          <w:lang w:val="en-US"/>
        </w:rPr>
      </w:pPr>
      <w:r w:rsidRPr="00D56AF5">
        <w:rPr>
          <w:rFonts w:ascii="Garamond" w:hAnsi="Garamond"/>
          <w:sz w:val="24"/>
          <w:szCs w:val="24"/>
          <w:lang w:val="en-US"/>
        </w:rPr>
        <w:t>Further, when the UNSC authorizes anti-terrorism forces or humanitarian interventions, this is seen as “sovereignty-enhancing,</w:t>
      </w:r>
      <w:r w:rsidRPr="00D56AF5">
        <w:rPr>
          <w:rFonts w:ascii="Garamond" w:hAnsi="Garamond"/>
          <w:sz w:val="24"/>
          <w:szCs w:val="24"/>
          <w:vertAlign w:val="superscript"/>
          <w:lang w:val="en-US"/>
        </w:rPr>
        <w:footnoteReference w:id="235"/>
      </w:r>
      <w:r w:rsidRPr="00D56AF5">
        <w:rPr>
          <w:rFonts w:ascii="Garamond" w:hAnsi="Garamond"/>
          <w:sz w:val="24"/>
          <w:szCs w:val="24"/>
          <w:lang w:val="en-US"/>
        </w:rPr>
        <w:t xml:space="preserve"> by intervening to help a state discharge its primary obligations towards its people.</w:t>
      </w:r>
      <w:r w:rsidRPr="00D56AF5">
        <w:rPr>
          <w:rFonts w:ascii="Garamond" w:hAnsi="Garamond"/>
          <w:sz w:val="24"/>
          <w:szCs w:val="24"/>
          <w:vertAlign w:val="superscript"/>
          <w:lang w:val="en-US"/>
        </w:rPr>
        <w:footnoteReference w:id="236"/>
      </w:r>
      <w:r w:rsidRPr="00D56AF5">
        <w:rPr>
          <w:rFonts w:ascii="Garamond" w:hAnsi="Garamond"/>
          <w:sz w:val="24"/>
          <w:szCs w:val="24"/>
          <w:lang w:val="en-US"/>
        </w:rPr>
        <w:t xml:space="preserve"> The legal authority exercised during humanitarian interventions is also ‘other-</w:t>
      </w:r>
      <w:r w:rsidRPr="00D56AF5">
        <w:rPr>
          <w:rFonts w:ascii="Garamond" w:hAnsi="Garamond"/>
          <w:sz w:val="24"/>
          <w:szCs w:val="24"/>
          <w:lang w:val="en-US"/>
        </w:rPr>
        <w:lastRenderedPageBreak/>
        <w:t>regarding, purposive, and institutional’.</w:t>
      </w:r>
      <w:r w:rsidRPr="00D56AF5">
        <w:rPr>
          <w:rStyle w:val="FootnoteReference"/>
          <w:rFonts w:ascii="Garamond" w:hAnsi="Garamond"/>
          <w:sz w:val="24"/>
          <w:szCs w:val="24"/>
          <w:lang w:val="en-US"/>
        </w:rPr>
        <w:footnoteReference w:id="237"/>
      </w:r>
      <w:r w:rsidRPr="00D56AF5">
        <w:rPr>
          <w:rFonts w:ascii="Garamond" w:hAnsi="Garamond"/>
          <w:sz w:val="24"/>
          <w:szCs w:val="24"/>
          <w:lang w:val="en-US"/>
        </w:rPr>
        <w:t xml:space="preserve"> The same, however, cannot be presumed for pro-democratic interventions. </w:t>
      </w:r>
    </w:p>
    <w:p w14:paraId="29C82836" w14:textId="699E3AD5" w:rsidR="00C92C94" w:rsidRPr="00D56AF5" w:rsidRDefault="00C92C94" w:rsidP="001340AF">
      <w:pPr>
        <w:spacing w:after="120" w:line="480" w:lineRule="auto"/>
        <w:jc w:val="both"/>
        <w:rPr>
          <w:rFonts w:ascii="Garamond" w:hAnsi="Garamond"/>
          <w:sz w:val="24"/>
          <w:szCs w:val="24"/>
          <w:lang w:val="en-US"/>
        </w:rPr>
      </w:pPr>
      <w:r w:rsidRPr="00D56AF5">
        <w:rPr>
          <w:rFonts w:ascii="Garamond" w:hAnsi="Garamond"/>
          <w:sz w:val="24"/>
          <w:szCs w:val="24"/>
          <w:lang w:val="en-US"/>
        </w:rPr>
        <w:t>The character of institutions (states or organizations) carrying out the interference, also affects its justifiability. Partisan institutions that are likely to create conditions of domination have weaker moral claims to intervention.</w:t>
      </w:r>
      <w:r w:rsidRPr="00D56AF5">
        <w:rPr>
          <w:rStyle w:val="FootnoteReference"/>
          <w:rFonts w:ascii="Garamond" w:hAnsi="Garamond"/>
          <w:sz w:val="24"/>
          <w:szCs w:val="24"/>
          <w:lang w:val="en-US"/>
        </w:rPr>
        <w:footnoteReference w:id="238"/>
      </w:r>
      <w:r w:rsidRPr="00D56AF5">
        <w:rPr>
          <w:rFonts w:ascii="Garamond" w:hAnsi="Garamond"/>
          <w:sz w:val="24"/>
          <w:szCs w:val="24"/>
          <w:lang w:val="en-US"/>
        </w:rPr>
        <w:t xml:space="preserve"> </w:t>
      </w:r>
      <w:r w:rsidR="00C93AB0">
        <w:rPr>
          <w:rFonts w:ascii="Garamond" w:hAnsi="Garamond"/>
          <w:sz w:val="24"/>
          <w:szCs w:val="24"/>
        </w:rPr>
        <w:t>In this vein</w:t>
      </w:r>
      <w:r w:rsidRPr="00D56AF5">
        <w:rPr>
          <w:rFonts w:ascii="Garamond" w:hAnsi="Garamond"/>
          <w:sz w:val="24"/>
          <w:szCs w:val="24"/>
        </w:rPr>
        <w:t>, ECOMOG’s intervention in Sierra Leone (1997) faced legitimacy challenges because the forces comprising ECOMOG came from an undemocratic state themselves.</w:t>
      </w:r>
      <w:r w:rsidRPr="00D56AF5">
        <w:rPr>
          <w:rFonts w:ascii="Garamond" w:hAnsi="Garamond"/>
          <w:sz w:val="24"/>
          <w:szCs w:val="24"/>
          <w:vertAlign w:val="superscript"/>
        </w:rPr>
        <w:footnoteReference w:id="239"/>
      </w:r>
    </w:p>
    <w:p w14:paraId="7EBB5D81" w14:textId="2B29B5BB" w:rsidR="00C92C94" w:rsidRPr="00D56AF5" w:rsidRDefault="00C92C94" w:rsidP="001340AF">
      <w:pPr>
        <w:spacing w:after="120" w:line="480" w:lineRule="auto"/>
        <w:jc w:val="both"/>
        <w:rPr>
          <w:rFonts w:ascii="Garamond" w:hAnsi="Garamond"/>
          <w:sz w:val="24"/>
          <w:szCs w:val="24"/>
          <w:lang w:val="en-US"/>
        </w:rPr>
      </w:pPr>
      <w:r w:rsidRPr="00D56AF5">
        <w:rPr>
          <w:rFonts w:ascii="Garamond" w:hAnsi="Garamond"/>
          <w:sz w:val="24"/>
          <w:szCs w:val="24"/>
          <w:lang w:val="en-US"/>
        </w:rPr>
        <w:t>Finally, subsidiarity demands an inquiry into proportionality, with sovereign states accorded primacy by default.</w:t>
      </w:r>
      <w:r w:rsidRPr="00D56AF5">
        <w:rPr>
          <w:rStyle w:val="FootnoteReference"/>
          <w:rFonts w:ascii="Garamond" w:hAnsi="Garamond"/>
          <w:sz w:val="24"/>
          <w:szCs w:val="24"/>
          <w:lang w:val="en-US"/>
        </w:rPr>
        <w:footnoteReference w:id="240"/>
      </w:r>
      <w:r w:rsidRPr="00D56AF5">
        <w:rPr>
          <w:rFonts w:ascii="Garamond" w:hAnsi="Garamond"/>
          <w:sz w:val="24"/>
          <w:szCs w:val="24"/>
          <w:lang w:val="en-US"/>
        </w:rPr>
        <w:t xml:space="preserve"> Miller’s example of a stable tyranny constitutes a useful illustration on the perils of dismissing proportionality. Miller argues that stable tyrannies are likely to have secured their positions by entrenching power in elite groups, and creating fissures along religious, ethnic or other lines. Their usurpation from outside the country is then likely to result in chaos and violence, </w:t>
      </w:r>
      <w:proofErr w:type="gramStart"/>
      <w:r w:rsidRPr="00D56AF5">
        <w:rPr>
          <w:rFonts w:ascii="Garamond" w:hAnsi="Garamond"/>
          <w:sz w:val="24"/>
          <w:szCs w:val="24"/>
          <w:lang w:val="en-US"/>
        </w:rPr>
        <w:t>similar to</w:t>
      </w:r>
      <w:proofErr w:type="gramEnd"/>
      <w:r w:rsidRPr="00D56AF5">
        <w:rPr>
          <w:rFonts w:ascii="Garamond" w:hAnsi="Garamond"/>
          <w:sz w:val="24"/>
          <w:szCs w:val="24"/>
          <w:lang w:val="en-US"/>
        </w:rPr>
        <w:t xml:space="preserve"> what resulted following the overthrow of Saddam Hussein in 2003. Miller therefore proposes that the costs and timing of regime change are a matter best discerned by the population.</w:t>
      </w:r>
      <w:r w:rsidRPr="00D56AF5">
        <w:rPr>
          <w:rFonts w:ascii="Garamond" w:hAnsi="Garamond"/>
          <w:sz w:val="24"/>
          <w:szCs w:val="24"/>
          <w:vertAlign w:val="superscript"/>
          <w:lang w:val="en-US"/>
        </w:rPr>
        <w:footnoteReference w:id="241"/>
      </w:r>
      <w:r w:rsidRPr="00D56AF5">
        <w:rPr>
          <w:rFonts w:ascii="Garamond" w:hAnsi="Garamond"/>
          <w:sz w:val="24"/>
          <w:szCs w:val="24"/>
          <w:lang w:val="en-US"/>
        </w:rPr>
        <w:t xml:space="preserve"> It is conceivable that the people prefer oppressive, domestic, opposition groups with effective control, over </w:t>
      </w:r>
      <w:r w:rsidR="00C93AB0">
        <w:rPr>
          <w:rFonts w:ascii="Garamond" w:hAnsi="Garamond"/>
          <w:sz w:val="24"/>
          <w:szCs w:val="24"/>
          <w:lang w:val="en-US"/>
        </w:rPr>
        <w:t>s</w:t>
      </w:r>
      <w:r w:rsidRPr="00D56AF5">
        <w:rPr>
          <w:rFonts w:ascii="Garamond" w:hAnsi="Garamond"/>
          <w:sz w:val="24"/>
          <w:szCs w:val="24"/>
          <w:lang w:val="en-US"/>
        </w:rPr>
        <w:t>elf-serving foreign intervenor</w:t>
      </w:r>
      <w:r w:rsidR="00C93AB0">
        <w:rPr>
          <w:rFonts w:ascii="Garamond" w:hAnsi="Garamond"/>
          <w:sz w:val="24"/>
          <w:szCs w:val="24"/>
          <w:lang w:val="en-US"/>
        </w:rPr>
        <w:t>s</w:t>
      </w:r>
      <w:r w:rsidRPr="00D56AF5">
        <w:rPr>
          <w:rFonts w:ascii="Garamond" w:hAnsi="Garamond"/>
          <w:sz w:val="24"/>
          <w:szCs w:val="24"/>
          <w:lang w:val="en-US"/>
        </w:rPr>
        <w:t>.</w:t>
      </w:r>
      <w:r w:rsidRPr="00D56AF5">
        <w:rPr>
          <w:rFonts w:ascii="Garamond" w:hAnsi="Garamond"/>
          <w:sz w:val="24"/>
          <w:szCs w:val="24"/>
          <w:vertAlign w:val="superscript"/>
          <w:lang w:val="en-US"/>
        </w:rPr>
        <w:footnoteReference w:id="242"/>
      </w:r>
      <w:r w:rsidRPr="00D56AF5">
        <w:rPr>
          <w:rFonts w:ascii="Garamond" w:hAnsi="Garamond"/>
          <w:sz w:val="24"/>
          <w:szCs w:val="24"/>
          <w:lang w:val="en-US"/>
        </w:rPr>
        <w:t xml:space="preserve"> </w:t>
      </w:r>
    </w:p>
    <w:p w14:paraId="646DBBD3" w14:textId="087E1E6D" w:rsidR="00C92C94" w:rsidRPr="00C92C94" w:rsidRDefault="00C92C94"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Thus, using the principle of subsidiarity we see that if states or regional organizations are militarily intervening contrary to the contemporaneous will of the beleaguered state, they must demonstrate substantial moral justifications for their interventions. However, very often, they lack the kinds of structural features that contribute to the legitimacy of UNSC decisions on intervention. </w:t>
      </w:r>
    </w:p>
    <w:p w14:paraId="1078745A" w14:textId="61074D88" w:rsidR="00A75FA7" w:rsidRPr="001340AF" w:rsidRDefault="00A262A5" w:rsidP="00B679CD">
      <w:pPr>
        <w:pStyle w:val="Heading3"/>
        <w:numPr>
          <w:ilvl w:val="2"/>
          <w:numId w:val="35"/>
        </w:numPr>
        <w:rPr>
          <w:lang w:val="en-US"/>
        </w:rPr>
      </w:pPr>
      <w:bookmarkStart w:id="31" w:name="_Toc191740742"/>
      <w:r w:rsidRPr="001340AF">
        <w:rPr>
          <w:lang w:val="en-US"/>
        </w:rPr>
        <w:lastRenderedPageBreak/>
        <w:t xml:space="preserve">Standing authorizations do not require legitimacy assessments </w:t>
      </w:r>
      <w:r w:rsidR="00A75FA7" w:rsidRPr="001340AF">
        <w:rPr>
          <w:lang w:val="en-US"/>
        </w:rPr>
        <w:t>and do not better serve basic values of the system</w:t>
      </w:r>
      <w:bookmarkEnd w:id="31"/>
      <w:r w:rsidR="00A75FA7" w:rsidRPr="001340AF">
        <w:rPr>
          <w:lang w:val="en-US"/>
        </w:rPr>
        <w:t xml:space="preserve"> </w:t>
      </w:r>
    </w:p>
    <w:p w14:paraId="571DB7CA" w14:textId="7C958E13" w:rsidR="00AC0304" w:rsidRPr="00A75FA7" w:rsidRDefault="00A262A5" w:rsidP="001340AF">
      <w:pPr>
        <w:spacing w:after="120" w:line="480" w:lineRule="auto"/>
        <w:jc w:val="both"/>
        <w:rPr>
          <w:rFonts w:ascii="Garamond" w:hAnsi="Garamond"/>
          <w:sz w:val="24"/>
          <w:szCs w:val="24"/>
          <w:lang w:val="en-US"/>
        </w:rPr>
      </w:pPr>
      <w:r w:rsidRPr="00A75FA7">
        <w:rPr>
          <w:rFonts w:ascii="Garamond" w:hAnsi="Garamond"/>
          <w:sz w:val="24"/>
          <w:szCs w:val="24"/>
          <w:lang w:val="en-US"/>
        </w:rPr>
        <w:t xml:space="preserve">Standing authorizations confer a </w:t>
      </w:r>
      <w:r w:rsidRPr="00A75FA7">
        <w:rPr>
          <w:rFonts w:ascii="Garamond" w:hAnsi="Garamond"/>
          <w:i/>
          <w:iCs/>
          <w:sz w:val="24"/>
          <w:szCs w:val="24"/>
          <w:lang w:val="en-US"/>
        </w:rPr>
        <w:t xml:space="preserve">right </w:t>
      </w:r>
      <w:r w:rsidRPr="00A75FA7">
        <w:rPr>
          <w:rFonts w:ascii="Garamond" w:hAnsi="Garamond"/>
          <w:sz w:val="24"/>
          <w:szCs w:val="24"/>
          <w:lang w:val="en-US"/>
        </w:rPr>
        <w:t xml:space="preserve">of intervention on other treaty parties without requiring </w:t>
      </w:r>
      <w:r w:rsidR="00ED469C" w:rsidRPr="00A75FA7">
        <w:rPr>
          <w:rFonts w:ascii="Garamond" w:hAnsi="Garamond"/>
          <w:sz w:val="24"/>
          <w:szCs w:val="24"/>
          <w:lang w:val="en-US"/>
        </w:rPr>
        <w:t xml:space="preserve">the performance of </w:t>
      </w:r>
      <w:r w:rsidRPr="00A75FA7">
        <w:rPr>
          <w:rFonts w:ascii="Garamond" w:hAnsi="Garamond"/>
          <w:sz w:val="24"/>
          <w:szCs w:val="24"/>
          <w:lang w:val="en-US"/>
        </w:rPr>
        <w:t xml:space="preserve">legitimacy assessments prior to intervention. But from our preceding discussion we see that legitimacy assessments have a valuable role to play in protecting both popular sovereignty and self-determination, by ensuring that the intervention </w:t>
      </w:r>
      <w:r w:rsidR="00B63C87" w:rsidRPr="00A75FA7">
        <w:rPr>
          <w:rFonts w:ascii="Garamond" w:hAnsi="Garamond"/>
          <w:sz w:val="24"/>
          <w:szCs w:val="24"/>
          <w:lang w:val="en-US"/>
        </w:rPr>
        <w:t>occurs</w:t>
      </w:r>
      <w:r w:rsidRPr="00A75FA7">
        <w:rPr>
          <w:rFonts w:ascii="Garamond" w:hAnsi="Garamond"/>
          <w:sz w:val="24"/>
          <w:szCs w:val="24"/>
          <w:lang w:val="en-US"/>
        </w:rPr>
        <w:t xml:space="preserve"> in support of the legitimate representative of the state. </w:t>
      </w:r>
    </w:p>
    <w:p w14:paraId="7E098A95" w14:textId="2BEFF017" w:rsidR="009E6ACE" w:rsidRPr="00D56AF5" w:rsidRDefault="00407F7C"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If </w:t>
      </w:r>
      <w:r w:rsidR="00B63C87" w:rsidRPr="00D56AF5">
        <w:rPr>
          <w:rFonts w:ascii="Garamond" w:hAnsi="Garamond"/>
          <w:sz w:val="24"/>
          <w:szCs w:val="24"/>
          <w:lang w:val="en-US"/>
        </w:rPr>
        <w:t>legitimacy</w:t>
      </w:r>
      <w:r w:rsidRPr="00D56AF5">
        <w:rPr>
          <w:rFonts w:ascii="Garamond" w:hAnsi="Garamond"/>
          <w:sz w:val="24"/>
          <w:szCs w:val="24"/>
          <w:lang w:val="en-US"/>
        </w:rPr>
        <w:t xml:space="preserve"> inquiries are not mandated,</w:t>
      </w:r>
      <w:r w:rsidR="00A262A5" w:rsidRPr="00D56AF5">
        <w:rPr>
          <w:rFonts w:ascii="Garamond" w:hAnsi="Garamond"/>
          <w:sz w:val="24"/>
          <w:szCs w:val="24"/>
          <w:lang w:val="en-US"/>
        </w:rPr>
        <w:t xml:space="preserve"> standing authorizations can be used to entrench both governments and institutional structures. A democratically elected government </w:t>
      </w:r>
      <w:r w:rsidR="00C93AB0">
        <w:rPr>
          <w:rFonts w:ascii="Garamond" w:hAnsi="Garamond"/>
          <w:sz w:val="24"/>
          <w:szCs w:val="24"/>
          <w:lang w:val="en-US"/>
        </w:rPr>
        <w:t>which</w:t>
      </w:r>
      <w:r w:rsidR="00196922" w:rsidRPr="00D56AF5">
        <w:rPr>
          <w:rFonts w:ascii="Garamond" w:hAnsi="Garamond"/>
          <w:sz w:val="24"/>
          <w:szCs w:val="24"/>
          <w:lang w:val="en-US"/>
        </w:rPr>
        <w:t xml:space="preserve"> has lost popular support</w:t>
      </w:r>
      <w:r w:rsidR="00A262A5" w:rsidRPr="00D56AF5">
        <w:rPr>
          <w:rFonts w:ascii="Garamond" w:hAnsi="Garamond"/>
          <w:sz w:val="24"/>
          <w:szCs w:val="24"/>
          <w:lang w:val="en-US"/>
        </w:rPr>
        <w:t xml:space="preserve"> can be reinstated by regional allies.</w:t>
      </w:r>
      <w:r w:rsidR="00AC0304" w:rsidRPr="00D56AF5">
        <w:rPr>
          <w:rFonts w:ascii="Garamond" w:hAnsi="Garamond"/>
          <w:sz w:val="24"/>
          <w:szCs w:val="24"/>
          <w:lang w:val="en-US"/>
        </w:rPr>
        <w:t xml:space="preserve"> And if standing authorizations are legal, they can</w:t>
      </w:r>
      <w:r w:rsidR="00F82F8C">
        <w:rPr>
          <w:rFonts w:ascii="Garamond" w:hAnsi="Garamond"/>
          <w:sz w:val="24"/>
          <w:szCs w:val="24"/>
          <w:lang w:val="en-US"/>
        </w:rPr>
        <w:t>,</w:t>
      </w:r>
      <w:r w:rsidR="00AC0304" w:rsidRPr="00D56AF5">
        <w:rPr>
          <w:rFonts w:ascii="Garamond" w:hAnsi="Garamond"/>
          <w:sz w:val="24"/>
          <w:szCs w:val="24"/>
          <w:lang w:val="en-US"/>
        </w:rPr>
        <w:t xml:space="preserve"> in principle</w:t>
      </w:r>
      <w:r w:rsidR="00DD3138" w:rsidRPr="00D56AF5">
        <w:rPr>
          <w:rFonts w:ascii="Garamond" w:hAnsi="Garamond"/>
          <w:sz w:val="24"/>
          <w:szCs w:val="24"/>
          <w:lang w:val="en-US"/>
        </w:rPr>
        <w:t>,</w:t>
      </w:r>
      <w:r w:rsidR="00AC0304" w:rsidRPr="00D56AF5">
        <w:rPr>
          <w:rFonts w:ascii="Garamond" w:hAnsi="Garamond"/>
          <w:sz w:val="24"/>
          <w:szCs w:val="24"/>
          <w:lang w:val="en-US"/>
        </w:rPr>
        <w:t xml:space="preserve"> be extended to legitimate bilateral arrangements between </w:t>
      </w:r>
      <w:r w:rsidR="00B6753D" w:rsidRPr="00D56AF5">
        <w:rPr>
          <w:rFonts w:ascii="Garamond" w:hAnsi="Garamond"/>
          <w:sz w:val="24"/>
          <w:szCs w:val="24"/>
          <w:lang w:val="en-US"/>
        </w:rPr>
        <w:t>autocratic governments to support each other.</w:t>
      </w:r>
      <w:r w:rsidR="00A262A5" w:rsidRPr="00D56AF5">
        <w:rPr>
          <w:rFonts w:ascii="Garamond" w:hAnsi="Garamond"/>
          <w:sz w:val="24"/>
          <w:szCs w:val="24"/>
          <w:lang w:val="en-US"/>
        </w:rPr>
        <w:t xml:space="preserve"> </w:t>
      </w:r>
    </w:p>
    <w:p w14:paraId="4FCC24DE" w14:textId="448F62AE" w:rsidR="00A262A5" w:rsidRPr="00D56AF5" w:rsidRDefault="00EC4F7D" w:rsidP="001340AF">
      <w:pPr>
        <w:spacing w:after="120" w:line="480" w:lineRule="auto"/>
        <w:jc w:val="both"/>
        <w:rPr>
          <w:rFonts w:ascii="Garamond" w:hAnsi="Garamond"/>
          <w:sz w:val="24"/>
          <w:szCs w:val="24"/>
          <w:lang w:val="en-US"/>
        </w:rPr>
      </w:pPr>
      <w:r w:rsidRPr="00D56AF5">
        <w:rPr>
          <w:rFonts w:ascii="Garamond" w:hAnsi="Garamond"/>
          <w:sz w:val="24"/>
          <w:szCs w:val="24"/>
          <w:lang w:val="en-US"/>
        </w:rPr>
        <w:t>The problem does not lie in the treaty commitment</w:t>
      </w:r>
      <w:r w:rsidR="000A01D9" w:rsidRPr="00D56AF5">
        <w:rPr>
          <w:rFonts w:ascii="Garamond" w:hAnsi="Garamond"/>
          <w:sz w:val="24"/>
          <w:szCs w:val="24"/>
          <w:lang w:val="en-US"/>
        </w:rPr>
        <w:t xml:space="preserve"> to democracy</w:t>
      </w:r>
      <w:r w:rsidRPr="00D56AF5">
        <w:rPr>
          <w:rFonts w:ascii="Garamond" w:hAnsi="Garamond"/>
          <w:sz w:val="24"/>
          <w:szCs w:val="24"/>
          <w:lang w:val="en-US"/>
        </w:rPr>
        <w:t>.</w:t>
      </w:r>
      <w:r w:rsidR="000A01D9" w:rsidRPr="00D56AF5">
        <w:rPr>
          <w:rFonts w:ascii="Garamond" w:hAnsi="Garamond"/>
          <w:sz w:val="24"/>
          <w:szCs w:val="24"/>
          <w:lang w:val="en-US"/>
        </w:rPr>
        <w:t xml:space="preserve"> In fact, </w:t>
      </w:r>
      <w:r w:rsidRPr="00D56AF5">
        <w:rPr>
          <w:rFonts w:ascii="Garamond" w:hAnsi="Garamond"/>
          <w:sz w:val="24"/>
          <w:szCs w:val="24"/>
          <w:lang w:val="en-US"/>
        </w:rPr>
        <w:t xml:space="preserve">commitments to democracy may </w:t>
      </w:r>
      <w:r w:rsidR="000A01D9" w:rsidRPr="00D56AF5">
        <w:rPr>
          <w:rFonts w:ascii="Garamond" w:hAnsi="Garamond"/>
          <w:sz w:val="24"/>
          <w:szCs w:val="24"/>
          <w:lang w:val="en-US"/>
        </w:rPr>
        <w:t>represent the fulfillment of sovereign dut</w:t>
      </w:r>
      <w:r w:rsidRPr="00D56AF5">
        <w:rPr>
          <w:rFonts w:ascii="Garamond" w:hAnsi="Garamond"/>
          <w:sz w:val="24"/>
          <w:szCs w:val="24"/>
          <w:lang w:val="en-US"/>
        </w:rPr>
        <w:t>ies</w:t>
      </w:r>
      <w:r w:rsidR="000A01D9" w:rsidRPr="00D56AF5">
        <w:rPr>
          <w:rFonts w:ascii="Garamond" w:hAnsi="Garamond"/>
          <w:sz w:val="24"/>
          <w:szCs w:val="24"/>
          <w:lang w:val="en-US"/>
        </w:rPr>
        <w:t>.</w:t>
      </w:r>
      <w:r w:rsidR="00725F21" w:rsidRPr="00D56AF5">
        <w:rPr>
          <w:rFonts w:ascii="Garamond" w:hAnsi="Garamond"/>
          <w:sz w:val="24"/>
          <w:szCs w:val="24"/>
          <w:lang w:val="en-US"/>
        </w:rPr>
        <w:t xml:space="preserve"> </w:t>
      </w:r>
      <w:r w:rsidR="000A01D9" w:rsidRPr="00D56AF5">
        <w:rPr>
          <w:rFonts w:ascii="Garamond" w:hAnsi="Garamond"/>
          <w:sz w:val="24"/>
          <w:szCs w:val="24"/>
          <w:lang w:val="en-US"/>
        </w:rPr>
        <w:t xml:space="preserve">However, </w:t>
      </w:r>
      <w:r w:rsidR="00A761A9" w:rsidRPr="00D56AF5">
        <w:rPr>
          <w:rFonts w:ascii="Garamond" w:hAnsi="Garamond"/>
          <w:sz w:val="24"/>
          <w:szCs w:val="24"/>
          <w:lang w:val="en-US"/>
        </w:rPr>
        <w:t xml:space="preserve">giving third states a </w:t>
      </w:r>
      <w:r w:rsidR="00A761A9" w:rsidRPr="00D56AF5">
        <w:rPr>
          <w:rFonts w:ascii="Garamond" w:hAnsi="Garamond"/>
          <w:i/>
          <w:iCs/>
          <w:sz w:val="24"/>
          <w:szCs w:val="24"/>
          <w:lang w:val="en-US"/>
        </w:rPr>
        <w:t xml:space="preserve">right </w:t>
      </w:r>
      <w:r w:rsidR="00A761A9" w:rsidRPr="00D56AF5">
        <w:rPr>
          <w:rFonts w:ascii="Garamond" w:hAnsi="Garamond"/>
          <w:sz w:val="24"/>
          <w:szCs w:val="24"/>
          <w:lang w:val="en-US"/>
        </w:rPr>
        <w:t xml:space="preserve">to use force, without </w:t>
      </w:r>
      <w:r w:rsidR="00FD0CF9" w:rsidRPr="00D56AF5">
        <w:rPr>
          <w:rFonts w:ascii="Garamond" w:hAnsi="Garamond"/>
          <w:sz w:val="24"/>
          <w:szCs w:val="24"/>
          <w:lang w:val="en-US"/>
        </w:rPr>
        <w:t xml:space="preserve">instituting safeguards </w:t>
      </w:r>
      <w:r w:rsidR="00925D56" w:rsidRPr="00D56AF5">
        <w:rPr>
          <w:rFonts w:ascii="Garamond" w:hAnsi="Garamond"/>
          <w:sz w:val="24"/>
          <w:szCs w:val="24"/>
          <w:lang w:val="en-US"/>
        </w:rPr>
        <w:t xml:space="preserve">to ensure </w:t>
      </w:r>
      <w:r w:rsidR="00626DE3" w:rsidRPr="00D56AF5">
        <w:rPr>
          <w:rFonts w:ascii="Garamond" w:hAnsi="Garamond"/>
          <w:sz w:val="24"/>
          <w:szCs w:val="24"/>
          <w:lang w:val="en-US"/>
        </w:rPr>
        <w:t xml:space="preserve">the bona fide exercise of that force, </w:t>
      </w:r>
      <w:r w:rsidR="00442D51" w:rsidRPr="00D56AF5">
        <w:rPr>
          <w:rFonts w:ascii="Garamond" w:hAnsi="Garamond"/>
          <w:sz w:val="24"/>
          <w:szCs w:val="24"/>
          <w:lang w:val="en-US"/>
        </w:rPr>
        <w:t xml:space="preserve">merely impedes the </w:t>
      </w:r>
      <w:r w:rsidR="00B443E5" w:rsidRPr="00D56AF5">
        <w:rPr>
          <w:rFonts w:ascii="Garamond" w:hAnsi="Garamond"/>
          <w:sz w:val="24"/>
          <w:szCs w:val="24"/>
          <w:lang w:val="en-US"/>
        </w:rPr>
        <w:t xml:space="preserve">beleaguered </w:t>
      </w:r>
      <w:r w:rsidR="00442D51" w:rsidRPr="00D56AF5">
        <w:rPr>
          <w:rFonts w:ascii="Garamond" w:hAnsi="Garamond"/>
          <w:sz w:val="24"/>
          <w:szCs w:val="24"/>
          <w:lang w:val="en-US"/>
        </w:rPr>
        <w:t xml:space="preserve">state’s ability to </w:t>
      </w:r>
      <w:r w:rsidR="0033374F" w:rsidRPr="00D56AF5">
        <w:rPr>
          <w:rFonts w:ascii="Garamond" w:hAnsi="Garamond"/>
          <w:sz w:val="24"/>
          <w:szCs w:val="24"/>
          <w:lang w:val="en-US"/>
        </w:rPr>
        <w:t>transition into more democratic regimes with the aid of transitional governments that</w:t>
      </w:r>
      <w:r w:rsidR="00A269B3">
        <w:rPr>
          <w:rFonts w:ascii="Garamond" w:hAnsi="Garamond"/>
          <w:sz w:val="24"/>
          <w:szCs w:val="24"/>
          <w:lang w:val="en-US"/>
        </w:rPr>
        <w:t xml:space="preserve"> may</w:t>
      </w:r>
      <w:r w:rsidR="0033374F" w:rsidRPr="00D56AF5">
        <w:rPr>
          <w:rFonts w:ascii="Garamond" w:hAnsi="Garamond"/>
          <w:sz w:val="24"/>
          <w:szCs w:val="24"/>
          <w:lang w:val="en-US"/>
        </w:rPr>
        <w:t xml:space="preserve"> lack </w:t>
      </w:r>
      <w:r w:rsidR="00E72EB3" w:rsidRPr="00D56AF5">
        <w:rPr>
          <w:rFonts w:ascii="Garamond" w:hAnsi="Garamond"/>
          <w:sz w:val="24"/>
          <w:szCs w:val="24"/>
          <w:lang w:val="en-US"/>
        </w:rPr>
        <w:t xml:space="preserve">formal </w:t>
      </w:r>
      <w:r w:rsidR="0033374F" w:rsidRPr="00D56AF5">
        <w:rPr>
          <w:rFonts w:ascii="Garamond" w:hAnsi="Garamond"/>
          <w:sz w:val="24"/>
          <w:szCs w:val="24"/>
          <w:lang w:val="en-US"/>
        </w:rPr>
        <w:t>democratic origin</w:t>
      </w:r>
      <w:r w:rsidR="005B25EA" w:rsidRPr="00D56AF5">
        <w:rPr>
          <w:rFonts w:ascii="Garamond" w:hAnsi="Garamond"/>
          <w:sz w:val="24"/>
          <w:szCs w:val="24"/>
          <w:lang w:val="en-US"/>
        </w:rPr>
        <w:t>s</w:t>
      </w:r>
      <w:r w:rsidR="0033374F" w:rsidRPr="00D56AF5">
        <w:rPr>
          <w:rFonts w:ascii="Garamond" w:hAnsi="Garamond"/>
          <w:sz w:val="24"/>
          <w:szCs w:val="24"/>
          <w:lang w:val="en-US"/>
        </w:rPr>
        <w:t xml:space="preserve"> themselves</w:t>
      </w:r>
      <w:r w:rsidR="00A262A5" w:rsidRPr="00D56AF5">
        <w:rPr>
          <w:rFonts w:ascii="Garamond" w:hAnsi="Garamond"/>
          <w:sz w:val="24"/>
          <w:szCs w:val="24"/>
          <w:lang w:val="en-US"/>
        </w:rPr>
        <w:t>, but which are nevertheless more popular or</w:t>
      </w:r>
      <w:r w:rsidR="00725F21" w:rsidRPr="00D56AF5">
        <w:rPr>
          <w:rFonts w:ascii="Garamond" w:hAnsi="Garamond"/>
          <w:sz w:val="24"/>
          <w:szCs w:val="24"/>
          <w:lang w:val="en-US"/>
        </w:rPr>
        <w:t xml:space="preserve"> more</w:t>
      </w:r>
      <w:r w:rsidR="00A262A5" w:rsidRPr="00D56AF5">
        <w:rPr>
          <w:rFonts w:ascii="Garamond" w:hAnsi="Garamond"/>
          <w:sz w:val="24"/>
          <w:szCs w:val="24"/>
          <w:lang w:val="en-US"/>
        </w:rPr>
        <w:t xml:space="preserve"> willing to discharge sovereign responsibilities than the</w:t>
      </w:r>
      <w:r w:rsidR="00725F21" w:rsidRPr="00D56AF5">
        <w:rPr>
          <w:rFonts w:ascii="Garamond" w:hAnsi="Garamond"/>
          <w:sz w:val="24"/>
          <w:szCs w:val="24"/>
          <w:lang w:val="en-US"/>
        </w:rPr>
        <w:t>ir</w:t>
      </w:r>
      <w:r w:rsidR="00A262A5" w:rsidRPr="00D56AF5">
        <w:rPr>
          <w:rFonts w:ascii="Garamond" w:hAnsi="Garamond"/>
          <w:sz w:val="24"/>
          <w:szCs w:val="24"/>
          <w:lang w:val="en-US"/>
        </w:rPr>
        <w:t xml:space="preserve"> </w:t>
      </w:r>
      <w:r w:rsidR="004E1B18" w:rsidRPr="00D56AF5">
        <w:rPr>
          <w:rFonts w:ascii="Garamond" w:hAnsi="Garamond"/>
          <w:sz w:val="24"/>
          <w:szCs w:val="24"/>
          <w:lang w:val="en-US"/>
        </w:rPr>
        <w:t>democratic-in-origin counterparts</w:t>
      </w:r>
      <w:r w:rsidR="00A262A5" w:rsidRPr="00D56AF5">
        <w:rPr>
          <w:rFonts w:ascii="Garamond" w:hAnsi="Garamond"/>
          <w:sz w:val="24"/>
          <w:szCs w:val="24"/>
          <w:lang w:val="en-US"/>
        </w:rPr>
        <w:t>. Further</w:t>
      </w:r>
      <w:r w:rsidR="0016235D" w:rsidRPr="00D56AF5">
        <w:rPr>
          <w:rFonts w:ascii="Garamond" w:hAnsi="Garamond"/>
          <w:sz w:val="24"/>
          <w:szCs w:val="24"/>
          <w:lang w:val="en-US"/>
        </w:rPr>
        <w:t>more,</w:t>
      </w:r>
      <w:r w:rsidR="00A262A5" w:rsidRPr="00D56AF5">
        <w:rPr>
          <w:rFonts w:ascii="Garamond" w:hAnsi="Garamond"/>
          <w:sz w:val="24"/>
          <w:szCs w:val="24"/>
          <w:lang w:val="en-US"/>
        </w:rPr>
        <w:t xml:space="preserve"> an indeterminacy in treaty</w:t>
      </w:r>
      <w:r w:rsidR="004E1B18" w:rsidRPr="00D56AF5">
        <w:rPr>
          <w:rFonts w:ascii="Garamond" w:hAnsi="Garamond"/>
          <w:sz w:val="24"/>
          <w:szCs w:val="24"/>
          <w:lang w:val="en-US"/>
        </w:rPr>
        <w:t xml:space="preserve"> reference</w:t>
      </w:r>
      <w:r w:rsidR="00011762" w:rsidRPr="00D56AF5">
        <w:rPr>
          <w:rFonts w:ascii="Garamond" w:hAnsi="Garamond"/>
          <w:sz w:val="24"/>
          <w:szCs w:val="24"/>
          <w:lang w:val="en-US"/>
        </w:rPr>
        <w:t>s</w:t>
      </w:r>
      <w:r w:rsidR="00A262A5" w:rsidRPr="00D56AF5">
        <w:rPr>
          <w:rFonts w:ascii="Garamond" w:hAnsi="Garamond"/>
          <w:sz w:val="24"/>
          <w:szCs w:val="24"/>
          <w:lang w:val="en-US"/>
        </w:rPr>
        <w:t xml:space="preserve"> to </w:t>
      </w:r>
      <w:r w:rsidR="004E1B18" w:rsidRPr="00D56AF5">
        <w:rPr>
          <w:rFonts w:ascii="Garamond" w:hAnsi="Garamond"/>
          <w:sz w:val="24"/>
          <w:szCs w:val="24"/>
          <w:lang w:val="en-US"/>
        </w:rPr>
        <w:t>‘</w:t>
      </w:r>
      <w:r w:rsidR="00A262A5" w:rsidRPr="00D56AF5">
        <w:rPr>
          <w:rFonts w:ascii="Garamond" w:hAnsi="Garamond"/>
          <w:sz w:val="24"/>
          <w:szCs w:val="24"/>
          <w:lang w:val="en-US"/>
        </w:rPr>
        <w:t>democracy</w:t>
      </w:r>
      <w:r w:rsidR="004E1B18" w:rsidRPr="00D56AF5">
        <w:rPr>
          <w:rFonts w:ascii="Garamond" w:hAnsi="Garamond"/>
          <w:sz w:val="24"/>
          <w:szCs w:val="24"/>
          <w:lang w:val="en-US"/>
        </w:rPr>
        <w:t>’</w:t>
      </w:r>
      <w:r w:rsidR="00A262A5" w:rsidRPr="00D56AF5">
        <w:rPr>
          <w:rFonts w:ascii="Garamond" w:hAnsi="Garamond"/>
          <w:sz w:val="24"/>
          <w:szCs w:val="24"/>
          <w:lang w:val="en-US"/>
        </w:rPr>
        <w:t xml:space="preserve"> can be dangerous</w:t>
      </w:r>
      <w:r w:rsidR="004E1B18" w:rsidRPr="00D56AF5">
        <w:rPr>
          <w:rFonts w:ascii="Garamond" w:hAnsi="Garamond"/>
          <w:sz w:val="24"/>
          <w:szCs w:val="24"/>
          <w:lang w:val="en-US"/>
        </w:rPr>
        <w:t>. F</w:t>
      </w:r>
      <w:r w:rsidR="00A262A5" w:rsidRPr="00D56AF5">
        <w:rPr>
          <w:rFonts w:ascii="Garamond" w:hAnsi="Garamond"/>
          <w:sz w:val="24"/>
          <w:szCs w:val="24"/>
          <w:lang w:val="en-US"/>
        </w:rPr>
        <w:t xml:space="preserve">or example, restricting democracy to electoral democracy could lead to the reinstatement of a leader that </w:t>
      </w:r>
      <w:r w:rsidR="00395F38" w:rsidRPr="00D56AF5">
        <w:rPr>
          <w:rFonts w:ascii="Garamond" w:hAnsi="Garamond"/>
          <w:sz w:val="24"/>
          <w:szCs w:val="24"/>
          <w:lang w:val="en-US"/>
        </w:rPr>
        <w:t xml:space="preserve">over time has </w:t>
      </w:r>
      <w:proofErr w:type="gramStart"/>
      <w:r w:rsidR="00395F38" w:rsidRPr="00D56AF5">
        <w:rPr>
          <w:rFonts w:ascii="Garamond" w:hAnsi="Garamond"/>
          <w:sz w:val="24"/>
          <w:szCs w:val="24"/>
          <w:lang w:val="en-US"/>
        </w:rPr>
        <w:t>actually become</w:t>
      </w:r>
      <w:proofErr w:type="gramEnd"/>
      <w:r w:rsidR="00395F38" w:rsidRPr="00D56AF5">
        <w:rPr>
          <w:rFonts w:ascii="Garamond" w:hAnsi="Garamond"/>
          <w:sz w:val="24"/>
          <w:szCs w:val="24"/>
          <w:lang w:val="en-US"/>
        </w:rPr>
        <w:t xml:space="preserve"> unpopular and illegitimate</w:t>
      </w:r>
      <w:r w:rsidR="00A262A5" w:rsidRPr="00D56AF5">
        <w:rPr>
          <w:rFonts w:ascii="Garamond" w:hAnsi="Garamond"/>
          <w:sz w:val="24"/>
          <w:szCs w:val="24"/>
          <w:lang w:val="en-US"/>
        </w:rPr>
        <w:t>.</w:t>
      </w:r>
      <w:r w:rsidR="00A262A5" w:rsidRPr="00D56AF5">
        <w:rPr>
          <w:rStyle w:val="FootnoteReference"/>
          <w:rFonts w:ascii="Garamond" w:hAnsi="Garamond"/>
          <w:sz w:val="24"/>
          <w:szCs w:val="24"/>
        </w:rPr>
        <w:footnoteReference w:id="243"/>
      </w:r>
      <w:r w:rsidR="00A262A5" w:rsidRPr="00D56AF5">
        <w:rPr>
          <w:rFonts w:ascii="Garamond" w:hAnsi="Garamond"/>
          <w:sz w:val="24"/>
          <w:szCs w:val="24"/>
          <w:lang w:val="en-US"/>
        </w:rPr>
        <w:t xml:space="preserve"> </w:t>
      </w:r>
    </w:p>
    <w:p w14:paraId="22D17E12" w14:textId="6961FBBC" w:rsidR="00C92C94" w:rsidRPr="00894B1B"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 xml:space="preserve">Legitimacy assessments also ward off abuse of interventions by both the ruling regime and third states. Without having to </w:t>
      </w:r>
      <w:r w:rsidR="00BA6BAB" w:rsidRPr="00D56AF5">
        <w:rPr>
          <w:rFonts w:ascii="Garamond" w:hAnsi="Garamond"/>
          <w:sz w:val="24"/>
          <w:szCs w:val="24"/>
          <w:lang w:val="en-US"/>
        </w:rPr>
        <w:t>demonstrate to the international community</w:t>
      </w:r>
      <w:r w:rsidR="00936076">
        <w:rPr>
          <w:rFonts w:ascii="Garamond" w:hAnsi="Garamond"/>
          <w:sz w:val="24"/>
          <w:szCs w:val="24"/>
          <w:lang w:val="en-US"/>
        </w:rPr>
        <w:t xml:space="preserve"> </w:t>
      </w:r>
      <w:r w:rsidRPr="00D56AF5">
        <w:rPr>
          <w:rFonts w:ascii="Garamond" w:hAnsi="Garamond"/>
          <w:sz w:val="24"/>
          <w:szCs w:val="24"/>
          <w:lang w:val="en-US"/>
        </w:rPr>
        <w:t>why a right of intervention</w:t>
      </w:r>
      <w:r w:rsidR="002E5EEE" w:rsidRPr="00D56AF5">
        <w:rPr>
          <w:rFonts w:ascii="Garamond" w:hAnsi="Garamond"/>
          <w:sz w:val="24"/>
          <w:szCs w:val="24"/>
          <w:lang w:val="en-US"/>
        </w:rPr>
        <w:t xml:space="preserve"> </w:t>
      </w:r>
      <w:r w:rsidR="002E5EEE" w:rsidRPr="00D56AF5">
        <w:rPr>
          <w:rFonts w:ascii="Garamond" w:hAnsi="Garamond"/>
          <w:sz w:val="24"/>
          <w:szCs w:val="24"/>
          <w:lang w:val="en-US"/>
        </w:rPr>
        <w:lastRenderedPageBreak/>
        <w:t>invokes international interests or</w:t>
      </w:r>
      <w:r w:rsidRPr="00D56AF5">
        <w:rPr>
          <w:rFonts w:ascii="Garamond" w:hAnsi="Garamond"/>
          <w:sz w:val="24"/>
          <w:szCs w:val="24"/>
          <w:lang w:val="en-US"/>
        </w:rPr>
        <w:t xml:space="preserve"> is being exercised in support of </w:t>
      </w:r>
      <w:r w:rsidR="00554680" w:rsidRPr="00D56AF5">
        <w:rPr>
          <w:rFonts w:ascii="Garamond" w:hAnsi="Garamond"/>
          <w:sz w:val="24"/>
          <w:szCs w:val="24"/>
          <w:lang w:val="en-US"/>
        </w:rPr>
        <w:t>a</w:t>
      </w:r>
      <w:r w:rsidRPr="00D56AF5">
        <w:rPr>
          <w:rFonts w:ascii="Garamond" w:hAnsi="Garamond"/>
          <w:sz w:val="24"/>
          <w:szCs w:val="24"/>
          <w:lang w:val="en-US"/>
        </w:rPr>
        <w:t xml:space="preserve"> legitimate leader, abusive governments can issue standing authorizations to their allies, and third states can use a government’s undemocratic qualifications as a pretext for self-serving military intervention</w:t>
      </w:r>
      <w:r w:rsidR="00B65040" w:rsidRPr="00D56AF5">
        <w:rPr>
          <w:rFonts w:ascii="Garamond" w:hAnsi="Garamond"/>
          <w:sz w:val="24"/>
          <w:szCs w:val="24"/>
          <w:lang w:val="en-US"/>
        </w:rPr>
        <w:t>, overriding the value</w:t>
      </w:r>
      <w:r w:rsidR="002B68F0" w:rsidRPr="00D56AF5">
        <w:rPr>
          <w:rFonts w:ascii="Garamond" w:hAnsi="Garamond"/>
          <w:sz w:val="24"/>
          <w:szCs w:val="24"/>
          <w:lang w:val="en-US"/>
        </w:rPr>
        <w:t>s</w:t>
      </w:r>
      <w:r w:rsidR="00B65040" w:rsidRPr="00D56AF5">
        <w:rPr>
          <w:rFonts w:ascii="Garamond" w:hAnsi="Garamond"/>
          <w:sz w:val="24"/>
          <w:szCs w:val="24"/>
          <w:lang w:val="en-US"/>
        </w:rPr>
        <w:t xml:space="preserve"> of popular sovereignty</w:t>
      </w:r>
      <w:r w:rsidR="002B68F0" w:rsidRPr="00D56AF5">
        <w:rPr>
          <w:rFonts w:ascii="Garamond" w:hAnsi="Garamond"/>
          <w:sz w:val="24"/>
          <w:szCs w:val="24"/>
          <w:lang w:val="en-US"/>
        </w:rPr>
        <w:t xml:space="preserve"> and self-determination</w:t>
      </w:r>
      <w:r w:rsidR="00B65040" w:rsidRPr="00D56AF5">
        <w:rPr>
          <w:rFonts w:ascii="Garamond" w:hAnsi="Garamond"/>
          <w:sz w:val="24"/>
          <w:szCs w:val="24"/>
          <w:lang w:val="en-US"/>
        </w:rPr>
        <w:t>.</w:t>
      </w:r>
      <w:r w:rsidR="002B68F0" w:rsidRPr="00D56AF5">
        <w:rPr>
          <w:rFonts w:ascii="Garamond" w:hAnsi="Garamond"/>
          <w:sz w:val="24"/>
          <w:szCs w:val="24"/>
          <w:lang w:val="en-US"/>
        </w:rPr>
        <w:t xml:space="preserve"> S</w:t>
      </w:r>
      <w:r w:rsidR="00ED2698" w:rsidRPr="00D56AF5">
        <w:rPr>
          <w:rFonts w:ascii="Garamond" w:hAnsi="Garamond"/>
          <w:sz w:val="24"/>
          <w:szCs w:val="24"/>
          <w:lang w:val="en-US"/>
        </w:rPr>
        <w:t xml:space="preserve">tanding authorizations </w:t>
      </w:r>
      <w:r w:rsidR="001C79EB" w:rsidRPr="00D56AF5">
        <w:rPr>
          <w:rFonts w:ascii="Garamond" w:hAnsi="Garamond"/>
          <w:sz w:val="24"/>
          <w:szCs w:val="24"/>
          <w:lang w:val="en-US"/>
        </w:rPr>
        <w:t xml:space="preserve">thus </w:t>
      </w:r>
      <w:r w:rsidR="00ED2698" w:rsidRPr="00D56AF5">
        <w:rPr>
          <w:rFonts w:ascii="Garamond" w:hAnsi="Garamond"/>
          <w:sz w:val="24"/>
          <w:szCs w:val="24"/>
          <w:lang w:val="en-US"/>
        </w:rPr>
        <w:t xml:space="preserve">enable </w:t>
      </w:r>
      <w:r w:rsidR="001151A7" w:rsidRPr="00D56AF5">
        <w:rPr>
          <w:rFonts w:ascii="Garamond" w:hAnsi="Garamond"/>
          <w:sz w:val="24"/>
          <w:szCs w:val="24"/>
          <w:lang w:val="en-US"/>
        </w:rPr>
        <w:t>new forms of neo-colonization</w:t>
      </w:r>
      <w:r w:rsidR="00F85800" w:rsidRPr="00D56AF5">
        <w:rPr>
          <w:rFonts w:ascii="Garamond" w:hAnsi="Garamond"/>
          <w:sz w:val="24"/>
          <w:szCs w:val="24"/>
          <w:lang w:val="en-US"/>
        </w:rPr>
        <w:t>.</w:t>
      </w:r>
      <w:r w:rsidR="00F85800" w:rsidRPr="00D56AF5">
        <w:rPr>
          <w:rStyle w:val="FootnoteReference"/>
          <w:rFonts w:ascii="Garamond" w:hAnsi="Garamond"/>
          <w:sz w:val="24"/>
          <w:szCs w:val="24"/>
          <w:lang w:val="en-US"/>
        </w:rPr>
        <w:footnoteReference w:id="244"/>
      </w:r>
      <w:bookmarkStart w:id="32" w:name="_Toc169217170"/>
    </w:p>
    <w:p w14:paraId="30079350" w14:textId="77777777" w:rsidR="001340AF" w:rsidRDefault="001340AF" w:rsidP="001340AF">
      <w:pPr>
        <w:pStyle w:val="Heading1"/>
        <w:spacing w:line="480" w:lineRule="auto"/>
        <w:rPr>
          <w:szCs w:val="24"/>
          <w:lang w:val="en-US"/>
        </w:rPr>
      </w:pPr>
    </w:p>
    <w:p w14:paraId="69DB7FA3" w14:textId="7E44CA08" w:rsidR="00A361B6" w:rsidRPr="00A361B6" w:rsidRDefault="00A262A5" w:rsidP="001340AF">
      <w:pPr>
        <w:pStyle w:val="Heading1"/>
        <w:spacing w:line="480" w:lineRule="auto"/>
        <w:rPr>
          <w:szCs w:val="24"/>
          <w:lang w:val="en-US"/>
        </w:rPr>
      </w:pPr>
      <w:bookmarkStart w:id="33" w:name="_Toc191740743"/>
      <w:r w:rsidRPr="00D56AF5">
        <w:rPr>
          <w:szCs w:val="24"/>
          <w:lang w:val="en-US"/>
        </w:rPr>
        <w:t>Conclusion</w:t>
      </w:r>
      <w:bookmarkEnd w:id="32"/>
      <w:r w:rsidR="002D6CCC">
        <w:rPr>
          <w:szCs w:val="24"/>
          <w:lang w:val="en-US"/>
        </w:rPr>
        <w:t>: A way forward?</w:t>
      </w:r>
      <w:bookmarkEnd w:id="33"/>
      <w:r w:rsidR="002D6CCC">
        <w:rPr>
          <w:szCs w:val="24"/>
          <w:lang w:val="en-US"/>
        </w:rPr>
        <w:t xml:space="preserve"> </w:t>
      </w:r>
    </w:p>
    <w:p w14:paraId="6F85377E" w14:textId="1228A51B" w:rsidR="00A262A5" w:rsidRPr="00D56AF5" w:rsidRDefault="004B01E5" w:rsidP="001340AF">
      <w:pPr>
        <w:spacing w:after="120" w:line="480" w:lineRule="auto"/>
        <w:jc w:val="both"/>
        <w:rPr>
          <w:rFonts w:ascii="Garamond" w:hAnsi="Garamond"/>
          <w:sz w:val="24"/>
          <w:szCs w:val="24"/>
          <w:lang w:val="en-US"/>
        </w:rPr>
      </w:pPr>
      <w:r>
        <w:rPr>
          <w:rFonts w:ascii="Garamond" w:hAnsi="Garamond"/>
          <w:sz w:val="24"/>
          <w:szCs w:val="24"/>
          <w:lang w:val="en-US"/>
        </w:rPr>
        <w:t>The</w:t>
      </w:r>
      <w:r w:rsidR="00A262A5" w:rsidRPr="00D56AF5">
        <w:rPr>
          <w:rFonts w:ascii="Garamond" w:hAnsi="Garamond"/>
          <w:sz w:val="24"/>
          <w:szCs w:val="24"/>
          <w:lang w:val="en-US"/>
        </w:rPr>
        <w:t xml:space="preserve"> concept of sovereignty </w:t>
      </w:r>
      <w:r>
        <w:rPr>
          <w:rFonts w:ascii="Garamond" w:hAnsi="Garamond"/>
          <w:sz w:val="24"/>
          <w:szCs w:val="24"/>
          <w:lang w:val="en-US"/>
        </w:rPr>
        <w:t xml:space="preserve">has been called </w:t>
      </w:r>
      <w:r w:rsidR="00A262A5" w:rsidRPr="00D56AF5">
        <w:rPr>
          <w:rFonts w:ascii="Garamond" w:hAnsi="Garamond"/>
          <w:sz w:val="24"/>
          <w:szCs w:val="24"/>
          <w:lang w:val="en-US"/>
        </w:rPr>
        <w:t xml:space="preserve">‘morally flaccid’ </w:t>
      </w:r>
      <w:r>
        <w:rPr>
          <w:rFonts w:ascii="Garamond" w:hAnsi="Garamond"/>
          <w:sz w:val="24"/>
          <w:szCs w:val="24"/>
          <w:lang w:val="en-US"/>
        </w:rPr>
        <w:t xml:space="preserve">for purportedly being </w:t>
      </w:r>
      <w:r w:rsidR="00A262A5" w:rsidRPr="00D56AF5">
        <w:rPr>
          <w:rFonts w:ascii="Garamond" w:hAnsi="Garamond"/>
          <w:sz w:val="24"/>
          <w:szCs w:val="24"/>
          <w:lang w:val="en-US"/>
        </w:rPr>
        <w:t>indifferent to the question of legitimacy and moral grounds for intervention.</w:t>
      </w:r>
      <w:r w:rsidR="00A262A5" w:rsidRPr="00D56AF5">
        <w:rPr>
          <w:rStyle w:val="FootnoteReference"/>
          <w:rFonts w:ascii="Garamond" w:hAnsi="Garamond"/>
          <w:sz w:val="24"/>
          <w:szCs w:val="24"/>
          <w:lang w:val="en-US"/>
        </w:rPr>
        <w:footnoteReference w:id="245"/>
      </w:r>
      <w:r w:rsidR="00A262A5" w:rsidRPr="00D56AF5">
        <w:rPr>
          <w:rFonts w:ascii="Garamond" w:hAnsi="Garamond"/>
          <w:sz w:val="24"/>
          <w:szCs w:val="24"/>
          <w:lang w:val="en-US"/>
        </w:rPr>
        <w:t xml:space="preserve"> This is not true. As I have attempted to demonstrate, the concept of sovereignty is fundamentally normative. Three principal values that are implicated in pro-democratic interventions are self-determination, popular sovereignty</w:t>
      </w:r>
      <w:r>
        <w:rPr>
          <w:rFonts w:ascii="Garamond" w:hAnsi="Garamond"/>
          <w:sz w:val="24"/>
          <w:szCs w:val="24"/>
          <w:lang w:val="en-US"/>
        </w:rPr>
        <w:t>,</w:t>
      </w:r>
      <w:r w:rsidR="00A262A5" w:rsidRPr="00D56AF5">
        <w:rPr>
          <w:rFonts w:ascii="Garamond" w:hAnsi="Garamond"/>
          <w:sz w:val="24"/>
          <w:szCs w:val="24"/>
          <w:lang w:val="en-US"/>
        </w:rPr>
        <w:t xml:space="preserve"> and subsidiarity. Self-determination promotes autonomy in organizing common forms of life, popular sovereignty requires the people’s </w:t>
      </w:r>
      <w:r w:rsidR="00F63BBA" w:rsidRPr="00D56AF5">
        <w:rPr>
          <w:rFonts w:ascii="Garamond" w:hAnsi="Garamond"/>
          <w:sz w:val="24"/>
          <w:szCs w:val="24"/>
          <w:lang w:val="en-US"/>
        </w:rPr>
        <w:t>representation</w:t>
      </w:r>
      <w:r w:rsidR="00A262A5" w:rsidRPr="00D56AF5">
        <w:rPr>
          <w:rFonts w:ascii="Garamond" w:hAnsi="Garamond"/>
          <w:sz w:val="24"/>
          <w:szCs w:val="24"/>
          <w:lang w:val="en-US"/>
        </w:rPr>
        <w:t xml:space="preserve"> </w:t>
      </w:r>
      <w:r w:rsidR="00F63BBA" w:rsidRPr="00D56AF5">
        <w:rPr>
          <w:rFonts w:ascii="Garamond" w:hAnsi="Garamond"/>
          <w:sz w:val="24"/>
          <w:szCs w:val="24"/>
          <w:lang w:val="en-US"/>
        </w:rPr>
        <w:t xml:space="preserve">by </w:t>
      </w:r>
      <w:r w:rsidR="00A262A5" w:rsidRPr="00D56AF5">
        <w:rPr>
          <w:rFonts w:ascii="Garamond" w:hAnsi="Garamond"/>
          <w:sz w:val="24"/>
          <w:szCs w:val="24"/>
          <w:lang w:val="en-US"/>
        </w:rPr>
        <w:t xml:space="preserve">a rights-respecting government, and subsidiarity locates value in states largely being left </w:t>
      </w:r>
      <w:r w:rsidR="00F63BBA" w:rsidRPr="00D56AF5">
        <w:rPr>
          <w:rFonts w:ascii="Garamond" w:hAnsi="Garamond"/>
          <w:sz w:val="24"/>
          <w:szCs w:val="24"/>
          <w:lang w:val="en-US"/>
        </w:rPr>
        <w:t xml:space="preserve">alone </w:t>
      </w:r>
      <w:r w:rsidR="00A262A5" w:rsidRPr="00D56AF5">
        <w:rPr>
          <w:rFonts w:ascii="Garamond" w:hAnsi="Garamond"/>
          <w:sz w:val="24"/>
          <w:szCs w:val="24"/>
          <w:lang w:val="en-US"/>
        </w:rPr>
        <w:t>to choreograph the good of their communities by virtue of their proximity to the people. All three goods are rooted in the value of human autonomy and political pluralism, are oriented towards the</w:t>
      </w:r>
      <w:r w:rsidR="001334AB" w:rsidRPr="00D56AF5">
        <w:rPr>
          <w:rFonts w:ascii="Garamond" w:hAnsi="Garamond"/>
          <w:sz w:val="24"/>
          <w:szCs w:val="24"/>
          <w:lang w:val="en-US"/>
        </w:rPr>
        <w:t xml:space="preserve"> common</w:t>
      </w:r>
      <w:r w:rsidR="00A262A5" w:rsidRPr="00D56AF5">
        <w:rPr>
          <w:rFonts w:ascii="Garamond" w:hAnsi="Garamond"/>
          <w:sz w:val="24"/>
          <w:szCs w:val="24"/>
          <w:lang w:val="en-US"/>
        </w:rPr>
        <w:t xml:space="preserve"> good of </w:t>
      </w:r>
      <w:r w:rsidR="001334AB" w:rsidRPr="00D56AF5">
        <w:rPr>
          <w:rFonts w:ascii="Garamond" w:hAnsi="Garamond"/>
          <w:sz w:val="24"/>
          <w:szCs w:val="24"/>
          <w:lang w:val="en-US"/>
        </w:rPr>
        <w:t>political communities</w:t>
      </w:r>
      <w:r w:rsidR="00A262A5" w:rsidRPr="00D56AF5">
        <w:rPr>
          <w:rFonts w:ascii="Garamond" w:hAnsi="Garamond"/>
          <w:sz w:val="24"/>
          <w:szCs w:val="24"/>
          <w:lang w:val="en-US"/>
        </w:rPr>
        <w:t>, and are consistent with external intervention where the state is unable to uphold their value.</w:t>
      </w:r>
    </w:p>
    <w:p w14:paraId="4C09FC78" w14:textId="476DDE77" w:rsidR="008D004B" w:rsidRPr="00D56AF5" w:rsidRDefault="00A262A5" w:rsidP="001340AF">
      <w:pPr>
        <w:spacing w:after="120" w:line="480" w:lineRule="auto"/>
        <w:jc w:val="both"/>
        <w:rPr>
          <w:rFonts w:ascii="Garamond" w:hAnsi="Garamond"/>
          <w:sz w:val="24"/>
          <w:szCs w:val="24"/>
          <w:lang w:val="en-US"/>
        </w:rPr>
      </w:pPr>
      <w:r w:rsidRPr="00D56AF5">
        <w:rPr>
          <w:rFonts w:ascii="Garamond" w:hAnsi="Garamond"/>
          <w:sz w:val="24"/>
          <w:szCs w:val="24"/>
          <w:lang w:val="en-US"/>
        </w:rPr>
        <w:t>A</w:t>
      </w:r>
      <w:r w:rsidR="008B1093" w:rsidRPr="00D56AF5">
        <w:rPr>
          <w:rFonts w:ascii="Garamond" w:hAnsi="Garamond"/>
          <w:sz w:val="24"/>
          <w:szCs w:val="24"/>
          <w:lang w:val="en-US"/>
        </w:rPr>
        <w:t xml:space="preserve">n investigation of the norms </w:t>
      </w:r>
      <w:r w:rsidRPr="00D56AF5">
        <w:rPr>
          <w:rFonts w:ascii="Garamond" w:hAnsi="Garamond"/>
          <w:sz w:val="24"/>
          <w:szCs w:val="24"/>
          <w:lang w:val="en-US"/>
        </w:rPr>
        <w:t>of international law indicates that state sovereignty is considered the best way of protecting these values, and that specific</w:t>
      </w:r>
      <w:r w:rsidR="00060EBB">
        <w:rPr>
          <w:rFonts w:ascii="Garamond" w:hAnsi="Garamond"/>
          <w:sz w:val="24"/>
          <w:szCs w:val="24"/>
          <w:lang w:val="en-US"/>
        </w:rPr>
        <w:t xml:space="preserve"> multilateral</w:t>
      </w:r>
      <w:r w:rsidRPr="00D56AF5">
        <w:rPr>
          <w:rFonts w:ascii="Garamond" w:hAnsi="Garamond"/>
          <w:sz w:val="24"/>
          <w:szCs w:val="24"/>
          <w:lang w:val="en-US"/>
        </w:rPr>
        <w:t xml:space="preserve"> inquiries about </w:t>
      </w:r>
      <w:r w:rsidR="00060EBB">
        <w:rPr>
          <w:rFonts w:ascii="Garamond" w:hAnsi="Garamond"/>
          <w:sz w:val="24"/>
          <w:szCs w:val="24"/>
          <w:lang w:val="en-US"/>
        </w:rPr>
        <w:t xml:space="preserve">effective control, governmental </w:t>
      </w:r>
      <w:r w:rsidRPr="00D56AF5">
        <w:rPr>
          <w:rFonts w:ascii="Garamond" w:hAnsi="Garamond"/>
          <w:sz w:val="24"/>
          <w:szCs w:val="24"/>
          <w:lang w:val="en-US"/>
        </w:rPr>
        <w:t xml:space="preserve">legitimacy, and form of consent, </w:t>
      </w:r>
      <w:r w:rsidR="000D5D3D" w:rsidRPr="00D56AF5">
        <w:rPr>
          <w:rFonts w:ascii="Garamond" w:hAnsi="Garamond"/>
          <w:sz w:val="24"/>
          <w:szCs w:val="24"/>
          <w:lang w:val="en-US"/>
        </w:rPr>
        <w:t xml:space="preserve">can </w:t>
      </w:r>
      <w:r w:rsidRPr="00D56AF5">
        <w:rPr>
          <w:rFonts w:ascii="Garamond" w:hAnsi="Garamond"/>
          <w:sz w:val="24"/>
          <w:szCs w:val="24"/>
          <w:lang w:val="en-US"/>
        </w:rPr>
        <w:t xml:space="preserve">ensure that sovereign will is prioritized. </w:t>
      </w:r>
      <w:r w:rsidR="00F12298" w:rsidRPr="00D56AF5">
        <w:rPr>
          <w:rFonts w:ascii="Garamond" w:hAnsi="Garamond"/>
          <w:sz w:val="24"/>
          <w:szCs w:val="24"/>
          <w:lang w:val="en-US"/>
        </w:rPr>
        <w:t>However, s</w:t>
      </w:r>
      <w:r w:rsidRPr="00D56AF5">
        <w:rPr>
          <w:rFonts w:ascii="Garamond" w:hAnsi="Garamond"/>
          <w:sz w:val="24"/>
          <w:szCs w:val="24"/>
          <w:lang w:val="en-US"/>
        </w:rPr>
        <w:t>tanding authorizations deviate from these conditions</w:t>
      </w:r>
      <w:r w:rsidR="002C28E6" w:rsidRPr="00D56AF5">
        <w:rPr>
          <w:rFonts w:ascii="Garamond" w:hAnsi="Garamond"/>
          <w:sz w:val="24"/>
          <w:szCs w:val="24"/>
          <w:lang w:val="en-US"/>
        </w:rPr>
        <w:t xml:space="preserve">, </w:t>
      </w:r>
      <w:r w:rsidR="00785994" w:rsidRPr="00D56AF5">
        <w:rPr>
          <w:rFonts w:ascii="Garamond" w:hAnsi="Garamond"/>
          <w:sz w:val="24"/>
          <w:szCs w:val="24"/>
          <w:lang w:val="en-US"/>
        </w:rPr>
        <w:t xml:space="preserve">thus </w:t>
      </w:r>
      <w:r w:rsidR="00EC499E" w:rsidRPr="00D56AF5">
        <w:rPr>
          <w:rFonts w:ascii="Garamond" w:hAnsi="Garamond"/>
          <w:sz w:val="24"/>
          <w:szCs w:val="24"/>
          <w:lang w:val="en-US"/>
        </w:rPr>
        <w:t>leav</w:t>
      </w:r>
      <w:r w:rsidR="00785994" w:rsidRPr="00D56AF5">
        <w:rPr>
          <w:rFonts w:ascii="Garamond" w:hAnsi="Garamond"/>
          <w:sz w:val="24"/>
          <w:szCs w:val="24"/>
          <w:lang w:val="en-US"/>
        </w:rPr>
        <w:t>ing</w:t>
      </w:r>
      <w:r w:rsidR="00944F0A" w:rsidRPr="00D56AF5">
        <w:rPr>
          <w:rFonts w:ascii="Garamond" w:hAnsi="Garamond"/>
          <w:sz w:val="24"/>
          <w:szCs w:val="24"/>
          <w:lang w:val="en-US"/>
        </w:rPr>
        <w:t xml:space="preserve"> </w:t>
      </w:r>
      <w:r w:rsidRPr="00D56AF5">
        <w:rPr>
          <w:rFonts w:ascii="Garamond" w:hAnsi="Garamond"/>
          <w:sz w:val="24"/>
          <w:szCs w:val="24"/>
          <w:lang w:val="en-US"/>
        </w:rPr>
        <w:t xml:space="preserve">beleaguered states </w:t>
      </w:r>
      <w:r w:rsidR="00944F0A" w:rsidRPr="00D56AF5">
        <w:rPr>
          <w:rFonts w:ascii="Garamond" w:hAnsi="Garamond"/>
          <w:sz w:val="24"/>
          <w:szCs w:val="24"/>
          <w:lang w:val="en-US"/>
        </w:rPr>
        <w:t xml:space="preserve">susceptible </w:t>
      </w:r>
      <w:r w:rsidRPr="00D56AF5">
        <w:rPr>
          <w:rFonts w:ascii="Garamond" w:hAnsi="Garamond"/>
          <w:sz w:val="24"/>
          <w:szCs w:val="24"/>
          <w:lang w:val="en-US"/>
        </w:rPr>
        <w:t xml:space="preserve">to grave risks of abuse by illegitimate governments and third states. </w:t>
      </w:r>
      <w:r w:rsidR="003B70FA" w:rsidRPr="00D56AF5">
        <w:rPr>
          <w:rFonts w:ascii="Garamond" w:hAnsi="Garamond"/>
          <w:sz w:val="24"/>
          <w:szCs w:val="24"/>
          <w:lang w:val="en-US"/>
        </w:rPr>
        <w:t>F</w:t>
      </w:r>
      <w:r w:rsidR="00D07977" w:rsidRPr="00D56AF5">
        <w:rPr>
          <w:rFonts w:ascii="Garamond" w:hAnsi="Garamond"/>
          <w:sz w:val="24"/>
          <w:szCs w:val="24"/>
          <w:lang w:val="en-US"/>
        </w:rPr>
        <w:t xml:space="preserve">urther still, </w:t>
      </w:r>
      <w:r w:rsidR="007A11BB" w:rsidRPr="00D56AF5">
        <w:rPr>
          <w:rFonts w:ascii="Garamond" w:hAnsi="Garamond"/>
          <w:sz w:val="24"/>
          <w:szCs w:val="24"/>
          <w:lang w:val="en-US"/>
        </w:rPr>
        <w:t xml:space="preserve">if we </w:t>
      </w:r>
      <w:r w:rsidR="009A70E4" w:rsidRPr="00D56AF5">
        <w:rPr>
          <w:rFonts w:ascii="Garamond" w:hAnsi="Garamond"/>
          <w:sz w:val="24"/>
          <w:szCs w:val="24"/>
          <w:lang w:val="en-US"/>
        </w:rPr>
        <w:lastRenderedPageBreak/>
        <w:t>adopt</w:t>
      </w:r>
      <w:r w:rsidR="007A11BB" w:rsidRPr="00D56AF5">
        <w:rPr>
          <w:rFonts w:ascii="Garamond" w:hAnsi="Garamond"/>
          <w:sz w:val="24"/>
          <w:szCs w:val="24"/>
          <w:lang w:val="en-US"/>
        </w:rPr>
        <w:t xml:space="preserve"> the Prior Consent Route,</w:t>
      </w:r>
      <w:r w:rsidRPr="00D56AF5">
        <w:rPr>
          <w:rFonts w:ascii="Garamond" w:hAnsi="Garamond"/>
          <w:sz w:val="24"/>
          <w:szCs w:val="24"/>
          <w:lang w:val="en-US"/>
        </w:rPr>
        <w:t xml:space="preserve"> </w:t>
      </w:r>
      <w:r w:rsidR="00D14DEF" w:rsidRPr="00D56AF5">
        <w:rPr>
          <w:rFonts w:ascii="Garamond" w:hAnsi="Garamond"/>
          <w:sz w:val="24"/>
          <w:szCs w:val="24"/>
          <w:lang w:val="en-US"/>
        </w:rPr>
        <w:t>authorizations</w:t>
      </w:r>
      <w:r w:rsidRPr="00D56AF5">
        <w:rPr>
          <w:rFonts w:ascii="Garamond" w:hAnsi="Garamond"/>
          <w:sz w:val="24"/>
          <w:szCs w:val="24"/>
          <w:lang w:val="en-US"/>
        </w:rPr>
        <w:t xml:space="preserve"> remain legally binding</w:t>
      </w:r>
      <w:r w:rsidR="007A11BB" w:rsidRPr="00D56AF5">
        <w:rPr>
          <w:rFonts w:ascii="Garamond" w:hAnsi="Garamond"/>
          <w:sz w:val="24"/>
          <w:szCs w:val="24"/>
          <w:lang w:val="en-US"/>
        </w:rPr>
        <w:t xml:space="preserve"> and </w:t>
      </w:r>
      <w:r w:rsidR="00F12298" w:rsidRPr="00D56AF5">
        <w:rPr>
          <w:rFonts w:ascii="Garamond" w:hAnsi="Garamond"/>
          <w:sz w:val="24"/>
          <w:szCs w:val="24"/>
          <w:lang w:val="en-US"/>
        </w:rPr>
        <w:t>confer</w:t>
      </w:r>
      <w:r w:rsidR="007A11BB" w:rsidRPr="00D56AF5">
        <w:rPr>
          <w:rFonts w:ascii="Garamond" w:hAnsi="Garamond"/>
          <w:sz w:val="24"/>
          <w:szCs w:val="24"/>
          <w:lang w:val="en-US"/>
        </w:rPr>
        <w:t xml:space="preserve"> </w:t>
      </w:r>
      <w:r w:rsidR="00F12298" w:rsidRPr="00D56AF5">
        <w:rPr>
          <w:rFonts w:ascii="Garamond" w:hAnsi="Garamond"/>
          <w:sz w:val="24"/>
          <w:szCs w:val="24"/>
          <w:lang w:val="en-US"/>
        </w:rPr>
        <w:t xml:space="preserve">a </w:t>
      </w:r>
      <w:r w:rsidRPr="00D56AF5">
        <w:rPr>
          <w:rFonts w:ascii="Garamond" w:hAnsi="Garamond"/>
          <w:sz w:val="24"/>
          <w:szCs w:val="24"/>
          <w:lang w:val="en-US"/>
        </w:rPr>
        <w:t>right of intervention on third states</w:t>
      </w:r>
      <w:r w:rsidR="00F12298" w:rsidRPr="00D56AF5">
        <w:rPr>
          <w:rFonts w:ascii="Garamond" w:hAnsi="Garamond"/>
          <w:sz w:val="24"/>
          <w:szCs w:val="24"/>
          <w:lang w:val="en-US"/>
        </w:rPr>
        <w:t xml:space="preserve"> or organizations</w:t>
      </w:r>
      <w:r w:rsidR="007A11BB" w:rsidRPr="00D56AF5">
        <w:rPr>
          <w:rFonts w:ascii="Garamond" w:hAnsi="Garamond"/>
          <w:sz w:val="24"/>
          <w:szCs w:val="24"/>
          <w:lang w:val="en-US"/>
        </w:rPr>
        <w:t xml:space="preserve"> through the operation of consent to the treaty</w:t>
      </w:r>
      <w:r w:rsidR="00CF3CFF">
        <w:rPr>
          <w:rFonts w:ascii="Garamond" w:hAnsi="Garamond"/>
          <w:sz w:val="24"/>
          <w:szCs w:val="24"/>
          <w:lang w:val="en-US"/>
        </w:rPr>
        <w:t>,</w:t>
      </w:r>
      <w:r w:rsidR="00C7455F">
        <w:rPr>
          <w:rFonts w:ascii="Garamond" w:hAnsi="Garamond"/>
          <w:sz w:val="24"/>
          <w:szCs w:val="24"/>
          <w:lang w:val="en-US"/>
        </w:rPr>
        <w:t xml:space="preserve"> </w:t>
      </w:r>
      <w:r w:rsidR="009032A4">
        <w:rPr>
          <w:rFonts w:ascii="Garamond" w:hAnsi="Garamond"/>
          <w:sz w:val="24"/>
          <w:szCs w:val="24"/>
          <w:lang w:val="en-US"/>
        </w:rPr>
        <w:t xml:space="preserve">even when </w:t>
      </w:r>
      <w:r w:rsidR="00F5310C">
        <w:rPr>
          <w:rFonts w:ascii="Garamond" w:hAnsi="Garamond"/>
          <w:sz w:val="24"/>
          <w:szCs w:val="24"/>
          <w:lang w:val="en-US"/>
        </w:rPr>
        <w:t>the third state flouts</w:t>
      </w:r>
      <w:r w:rsidR="00C3790C">
        <w:rPr>
          <w:rFonts w:ascii="Garamond" w:hAnsi="Garamond"/>
          <w:sz w:val="24"/>
          <w:szCs w:val="24"/>
          <w:lang w:val="en-US"/>
        </w:rPr>
        <w:t xml:space="preserve"> the will </w:t>
      </w:r>
      <w:r w:rsidR="007245B4">
        <w:rPr>
          <w:rFonts w:ascii="Garamond" w:hAnsi="Garamond"/>
          <w:sz w:val="24"/>
          <w:szCs w:val="24"/>
          <w:lang w:val="en-US"/>
        </w:rPr>
        <w:t xml:space="preserve">and the </w:t>
      </w:r>
      <w:r w:rsidR="00D446FA">
        <w:rPr>
          <w:rFonts w:ascii="Garamond" w:hAnsi="Garamond"/>
          <w:sz w:val="24"/>
          <w:szCs w:val="24"/>
          <w:lang w:val="en-US"/>
        </w:rPr>
        <w:t>self-</w:t>
      </w:r>
      <w:r w:rsidR="009F0EF9">
        <w:rPr>
          <w:rFonts w:ascii="Garamond" w:hAnsi="Garamond"/>
          <w:sz w:val="24"/>
          <w:szCs w:val="24"/>
          <w:lang w:val="en-US"/>
        </w:rPr>
        <w:t>determined</w:t>
      </w:r>
      <w:r w:rsidR="00D446FA">
        <w:rPr>
          <w:rFonts w:ascii="Garamond" w:hAnsi="Garamond"/>
          <w:sz w:val="24"/>
          <w:szCs w:val="24"/>
          <w:lang w:val="en-US"/>
        </w:rPr>
        <w:t xml:space="preserve"> </w:t>
      </w:r>
      <w:r w:rsidR="007245B4">
        <w:rPr>
          <w:rFonts w:ascii="Garamond" w:hAnsi="Garamond"/>
          <w:sz w:val="24"/>
          <w:szCs w:val="24"/>
          <w:lang w:val="en-US"/>
        </w:rPr>
        <w:t>good of the peo</w:t>
      </w:r>
      <w:r w:rsidR="00E3575E">
        <w:rPr>
          <w:rFonts w:ascii="Garamond" w:hAnsi="Garamond"/>
          <w:sz w:val="24"/>
          <w:szCs w:val="24"/>
          <w:lang w:val="en-US"/>
        </w:rPr>
        <w:t>ple</w:t>
      </w:r>
      <w:r w:rsidRPr="00D56AF5">
        <w:rPr>
          <w:rFonts w:ascii="Garamond" w:hAnsi="Garamond"/>
          <w:sz w:val="24"/>
          <w:szCs w:val="24"/>
          <w:lang w:val="en-US"/>
        </w:rPr>
        <w:t xml:space="preserve">. </w:t>
      </w:r>
    </w:p>
    <w:p w14:paraId="727A865A" w14:textId="30A5CCE1" w:rsidR="00A262A5" w:rsidRDefault="008D004B" w:rsidP="001340AF">
      <w:pPr>
        <w:spacing w:after="120" w:line="480" w:lineRule="auto"/>
        <w:jc w:val="both"/>
        <w:rPr>
          <w:rFonts w:ascii="Garamond" w:hAnsi="Garamond"/>
          <w:sz w:val="24"/>
          <w:szCs w:val="24"/>
          <w:lang w:val="en-US"/>
        </w:rPr>
      </w:pPr>
      <w:r w:rsidRPr="00D56AF5">
        <w:rPr>
          <w:rFonts w:ascii="Garamond" w:hAnsi="Garamond"/>
          <w:sz w:val="24"/>
          <w:szCs w:val="24"/>
          <w:lang w:val="en-US"/>
        </w:rPr>
        <w:t>This sets the stage for an erosion of sovereignty.</w:t>
      </w:r>
      <w:r w:rsidR="00F553DE" w:rsidRPr="00D56AF5">
        <w:rPr>
          <w:rFonts w:ascii="Garamond" w:hAnsi="Garamond"/>
          <w:sz w:val="24"/>
          <w:szCs w:val="24"/>
          <w:lang w:val="en-US"/>
        </w:rPr>
        <w:t xml:space="preserve"> </w:t>
      </w:r>
      <w:r w:rsidR="00FD4145" w:rsidRPr="00D56AF5">
        <w:rPr>
          <w:rFonts w:ascii="Garamond" w:hAnsi="Garamond"/>
          <w:sz w:val="24"/>
          <w:szCs w:val="24"/>
          <w:lang w:val="en-US"/>
        </w:rPr>
        <w:t>I</w:t>
      </w:r>
      <w:r w:rsidR="00A262A5" w:rsidRPr="00D56AF5">
        <w:rPr>
          <w:rFonts w:ascii="Garamond" w:hAnsi="Garamond"/>
          <w:sz w:val="24"/>
          <w:szCs w:val="24"/>
          <w:lang w:val="en-US"/>
        </w:rPr>
        <w:t xml:space="preserve">nterventions which do not respect popular sovereignty and self-determination, </w:t>
      </w:r>
      <w:r w:rsidR="004A42A7" w:rsidRPr="00D56AF5">
        <w:rPr>
          <w:rFonts w:ascii="Garamond" w:hAnsi="Garamond"/>
          <w:sz w:val="24"/>
          <w:szCs w:val="24"/>
          <w:lang w:val="en-US"/>
        </w:rPr>
        <w:t xml:space="preserve">can claim </w:t>
      </w:r>
      <w:r w:rsidR="00A30EEB" w:rsidRPr="00D56AF5">
        <w:rPr>
          <w:rFonts w:ascii="Garamond" w:hAnsi="Garamond"/>
          <w:sz w:val="24"/>
          <w:szCs w:val="24"/>
          <w:lang w:val="en-US"/>
        </w:rPr>
        <w:t xml:space="preserve">a </w:t>
      </w:r>
      <w:r w:rsidR="004A42A7" w:rsidRPr="00D56AF5">
        <w:rPr>
          <w:rFonts w:ascii="Garamond" w:hAnsi="Garamond"/>
          <w:sz w:val="24"/>
          <w:szCs w:val="24"/>
          <w:lang w:val="en-US"/>
        </w:rPr>
        <w:t>legal imprimatur</w:t>
      </w:r>
      <w:r w:rsidR="00716BE7" w:rsidRPr="00D56AF5">
        <w:rPr>
          <w:rFonts w:ascii="Garamond" w:hAnsi="Garamond"/>
          <w:sz w:val="24"/>
          <w:szCs w:val="24"/>
          <w:lang w:val="en-US"/>
        </w:rPr>
        <w:t xml:space="preserve"> by virtue of treaty provisions</w:t>
      </w:r>
      <w:r w:rsidR="00FD4145" w:rsidRPr="00D56AF5">
        <w:rPr>
          <w:rFonts w:ascii="Garamond" w:hAnsi="Garamond"/>
          <w:sz w:val="24"/>
          <w:szCs w:val="24"/>
          <w:lang w:val="en-US"/>
        </w:rPr>
        <w:t>.</w:t>
      </w:r>
      <w:r w:rsidR="00A262A5" w:rsidRPr="00D56AF5">
        <w:rPr>
          <w:rFonts w:ascii="Garamond" w:hAnsi="Garamond"/>
          <w:sz w:val="24"/>
          <w:szCs w:val="24"/>
          <w:lang w:val="en-US"/>
        </w:rPr>
        <w:t xml:space="preserve"> </w:t>
      </w:r>
      <w:r w:rsidR="00E74CCE" w:rsidRPr="00D56AF5">
        <w:rPr>
          <w:rFonts w:ascii="Garamond" w:hAnsi="Garamond"/>
          <w:sz w:val="24"/>
          <w:szCs w:val="24"/>
          <w:lang w:val="en-US"/>
        </w:rPr>
        <w:t>But</w:t>
      </w:r>
      <w:r w:rsidR="007B4B7F" w:rsidRPr="00D56AF5">
        <w:rPr>
          <w:rFonts w:ascii="Garamond" w:hAnsi="Garamond"/>
          <w:sz w:val="24"/>
          <w:szCs w:val="24"/>
          <w:lang w:val="en-US"/>
        </w:rPr>
        <w:t xml:space="preserve"> </w:t>
      </w:r>
      <w:r w:rsidR="00812E43" w:rsidRPr="00D56AF5">
        <w:rPr>
          <w:rFonts w:ascii="Garamond" w:hAnsi="Garamond"/>
          <w:sz w:val="24"/>
          <w:szCs w:val="24"/>
          <w:lang w:val="en-US"/>
        </w:rPr>
        <w:t>in the process</w:t>
      </w:r>
      <w:r w:rsidR="00087F8A" w:rsidRPr="00D56AF5">
        <w:rPr>
          <w:rFonts w:ascii="Garamond" w:hAnsi="Garamond"/>
          <w:sz w:val="24"/>
          <w:szCs w:val="24"/>
          <w:lang w:val="en-US"/>
        </w:rPr>
        <w:t>, they will</w:t>
      </w:r>
      <w:r w:rsidR="007B4B7F" w:rsidRPr="00D56AF5">
        <w:rPr>
          <w:rFonts w:ascii="Garamond" w:hAnsi="Garamond"/>
          <w:sz w:val="24"/>
          <w:szCs w:val="24"/>
          <w:lang w:val="en-US"/>
        </w:rPr>
        <w:t xml:space="preserve"> </w:t>
      </w:r>
      <w:r w:rsidR="00A262A5" w:rsidRPr="00D56AF5">
        <w:rPr>
          <w:rFonts w:ascii="Garamond" w:hAnsi="Garamond"/>
          <w:sz w:val="24"/>
          <w:szCs w:val="24"/>
          <w:lang w:val="en-US"/>
        </w:rPr>
        <w:t>strip the state of the competence</w:t>
      </w:r>
      <w:r w:rsidR="00087F8A" w:rsidRPr="00D56AF5">
        <w:rPr>
          <w:rFonts w:ascii="Garamond" w:hAnsi="Garamond"/>
          <w:sz w:val="24"/>
          <w:szCs w:val="24"/>
          <w:lang w:val="en-US"/>
        </w:rPr>
        <w:t>s</w:t>
      </w:r>
      <w:r w:rsidR="00A262A5" w:rsidRPr="00D56AF5">
        <w:rPr>
          <w:rFonts w:ascii="Garamond" w:hAnsi="Garamond"/>
          <w:sz w:val="24"/>
          <w:szCs w:val="24"/>
          <w:lang w:val="en-US"/>
        </w:rPr>
        <w:t xml:space="preserve"> and countervailing rights that give sovereignty meaning</w:t>
      </w:r>
      <w:r w:rsidR="00F553DE" w:rsidRPr="00D56AF5">
        <w:rPr>
          <w:rFonts w:ascii="Garamond" w:hAnsi="Garamond"/>
          <w:sz w:val="24"/>
          <w:szCs w:val="24"/>
          <w:lang w:val="en-US"/>
        </w:rPr>
        <w:t xml:space="preserve">. </w:t>
      </w:r>
      <w:r w:rsidR="00A262A5" w:rsidRPr="00D56AF5">
        <w:rPr>
          <w:rFonts w:ascii="Garamond" w:hAnsi="Garamond"/>
          <w:sz w:val="24"/>
          <w:szCs w:val="24"/>
          <w:lang w:val="en-US"/>
        </w:rPr>
        <w:t>That is not</w:t>
      </w:r>
      <w:r w:rsidR="002E26FA" w:rsidRPr="00D56AF5">
        <w:rPr>
          <w:rFonts w:ascii="Garamond" w:hAnsi="Garamond"/>
          <w:sz w:val="24"/>
          <w:szCs w:val="24"/>
          <w:lang w:val="en-US"/>
        </w:rPr>
        <w:t xml:space="preserve"> to</w:t>
      </w:r>
      <w:r w:rsidR="00A262A5" w:rsidRPr="00D56AF5">
        <w:rPr>
          <w:rFonts w:ascii="Garamond" w:hAnsi="Garamond"/>
          <w:sz w:val="24"/>
          <w:szCs w:val="24"/>
          <w:lang w:val="en-US"/>
        </w:rPr>
        <w:t xml:space="preserve"> </w:t>
      </w:r>
      <w:r w:rsidR="00F32AE1" w:rsidRPr="00D56AF5">
        <w:rPr>
          <w:rFonts w:ascii="Garamond" w:hAnsi="Garamond"/>
          <w:sz w:val="24"/>
          <w:szCs w:val="24"/>
          <w:lang w:val="en-US"/>
        </w:rPr>
        <w:t xml:space="preserve">say that standing authorizations have no value, </w:t>
      </w:r>
      <w:r w:rsidR="00A262A5" w:rsidRPr="00D56AF5">
        <w:rPr>
          <w:rFonts w:ascii="Garamond" w:hAnsi="Garamond"/>
          <w:sz w:val="24"/>
          <w:szCs w:val="24"/>
          <w:lang w:val="en-US"/>
        </w:rPr>
        <w:t>but simply that in their present form, they lack</w:t>
      </w:r>
      <w:r w:rsidR="00F01C27" w:rsidRPr="00D56AF5">
        <w:rPr>
          <w:rFonts w:ascii="Garamond" w:hAnsi="Garamond"/>
          <w:sz w:val="24"/>
          <w:szCs w:val="24"/>
          <w:lang w:val="en-US"/>
        </w:rPr>
        <w:t xml:space="preserve"> essential</w:t>
      </w:r>
      <w:r w:rsidR="00A262A5" w:rsidRPr="00D56AF5">
        <w:rPr>
          <w:rFonts w:ascii="Garamond" w:hAnsi="Garamond"/>
          <w:sz w:val="24"/>
          <w:szCs w:val="24"/>
          <w:lang w:val="en-US"/>
        </w:rPr>
        <w:t xml:space="preserve"> safeguards for </w:t>
      </w:r>
      <w:r w:rsidR="005E3BF7" w:rsidRPr="00D56AF5">
        <w:rPr>
          <w:rFonts w:ascii="Garamond" w:hAnsi="Garamond"/>
          <w:sz w:val="24"/>
          <w:szCs w:val="24"/>
          <w:lang w:val="en-US"/>
        </w:rPr>
        <w:t xml:space="preserve">sovereignty. </w:t>
      </w:r>
      <w:r w:rsidR="00AA7A88" w:rsidRPr="00D56AF5">
        <w:rPr>
          <w:rFonts w:ascii="Garamond" w:hAnsi="Garamond"/>
          <w:sz w:val="24"/>
          <w:szCs w:val="24"/>
          <w:lang w:val="en-US"/>
        </w:rPr>
        <w:t>Therefore, if</w:t>
      </w:r>
      <w:r w:rsidR="005E3BF7" w:rsidRPr="00D56AF5">
        <w:rPr>
          <w:rFonts w:ascii="Garamond" w:hAnsi="Garamond"/>
          <w:sz w:val="24"/>
          <w:szCs w:val="24"/>
          <w:lang w:val="en-US"/>
        </w:rPr>
        <w:t xml:space="preserve"> they are to </w:t>
      </w:r>
      <w:r w:rsidR="00E47ADE" w:rsidRPr="00D56AF5">
        <w:rPr>
          <w:rFonts w:ascii="Garamond" w:hAnsi="Garamond"/>
          <w:sz w:val="24"/>
          <w:szCs w:val="24"/>
          <w:lang w:val="en-US"/>
        </w:rPr>
        <w:t>fall within</w:t>
      </w:r>
      <w:r w:rsidR="005E3BF7" w:rsidRPr="00D56AF5">
        <w:rPr>
          <w:rFonts w:ascii="Garamond" w:hAnsi="Garamond"/>
          <w:sz w:val="24"/>
          <w:szCs w:val="24"/>
          <w:lang w:val="en-US"/>
        </w:rPr>
        <w:t xml:space="preserve"> an extension of the doctrine of intervention </w:t>
      </w:r>
      <w:r w:rsidR="00486C00" w:rsidRPr="00D56AF5">
        <w:rPr>
          <w:rFonts w:ascii="Garamond" w:hAnsi="Garamond"/>
          <w:sz w:val="24"/>
          <w:szCs w:val="24"/>
          <w:lang w:val="en-US"/>
        </w:rPr>
        <w:t>by</w:t>
      </w:r>
      <w:r w:rsidR="005E3BF7" w:rsidRPr="00D56AF5">
        <w:rPr>
          <w:rFonts w:ascii="Garamond" w:hAnsi="Garamond"/>
          <w:sz w:val="24"/>
          <w:szCs w:val="24"/>
          <w:lang w:val="en-US"/>
        </w:rPr>
        <w:t xml:space="preserve"> invitation, they should incorporate the safeguards internalized by the doctrine</w:t>
      </w:r>
      <w:r w:rsidR="00FB69B9" w:rsidRPr="00D56AF5">
        <w:rPr>
          <w:rFonts w:ascii="Garamond" w:hAnsi="Garamond"/>
          <w:sz w:val="24"/>
          <w:szCs w:val="24"/>
          <w:lang w:val="en-US"/>
        </w:rPr>
        <w:t xml:space="preserve"> –</w:t>
      </w:r>
      <w:r w:rsidR="00060EBB">
        <w:rPr>
          <w:rFonts w:ascii="Garamond" w:hAnsi="Garamond"/>
          <w:sz w:val="24"/>
          <w:szCs w:val="24"/>
          <w:lang w:val="en-US"/>
        </w:rPr>
        <w:t xml:space="preserve"> international recognition</w:t>
      </w:r>
      <w:r w:rsidR="005E0820" w:rsidRPr="00D56AF5">
        <w:rPr>
          <w:rFonts w:ascii="Garamond" w:hAnsi="Garamond"/>
          <w:sz w:val="24"/>
          <w:szCs w:val="24"/>
          <w:lang w:val="en-US"/>
        </w:rPr>
        <w:t>, and where possible the ad hoc consent of the concerned state.</w:t>
      </w:r>
    </w:p>
    <w:sectPr w:rsidR="00A262A5" w:rsidSect="00EB0123">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2042C" w14:textId="77777777" w:rsidR="00C823EB" w:rsidRDefault="00C823EB" w:rsidP="008D17B1">
      <w:pPr>
        <w:spacing w:after="0" w:line="240" w:lineRule="auto"/>
      </w:pPr>
      <w:r>
        <w:separator/>
      </w:r>
    </w:p>
  </w:endnote>
  <w:endnote w:type="continuationSeparator" w:id="0">
    <w:p w14:paraId="430A6C81" w14:textId="77777777" w:rsidR="00C823EB" w:rsidRDefault="00C823EB" w:rsidP="008D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379547"/>
      <w:docPartObj>
        <w:docPartGallery w:val="Page Numbers (Bottom of Page)"/>
        <w:docPartUnique/>
      </w:docPartObj>
    </w:sdtPr>
    <w:sdtEndPr>
      <w:rPr>
        <w:rFonts w:ascii="Garamond" w:hAnsi="Garamond"/>
        <w:noProof/>
      </w:rPr>
    </w:sdtEndPr>
    <w:sdtContent>
      <w:p w14:paraId="74CBF6B5" w14:textId="543C0C6B" w:rsidR="006508E4" w:rsidRPr="00514434" w:rsidRDefault="006508E4">
        <w:pPr>
          <w:pStyle w:val="Footer"/>
          <w:jc w:val="right"/>
          <w:rPr>
            <w:rFonts w:ascii="Garamond" w:hAnsi="Garamond"/>
          </w:rPr>
        </w:pPr>
        <w:r w:rsidRPr="00514434">
          <w:rPr>
            <w:rFonts w:ascii="Garamond" w:hAnsi="Garamond"/>
          </w:rPr>
          <w:fldChar w:fldCharType="begin"/>
        </w:r>
        <w:r w:rsidRPr="00514434">
          <w:rPr>
            <w:rFonts w:ascii="Garamond" w:hAnsi="Garamond"/>
          </w:rPr>
          <w:instrText xml:space="preserve"> PAGE   \* MERGEFORMAT </w:instrText>
        </w:r>
        <w:r w:rsidRPr="00514434">
          <w:rPr>
            <w:rFonts w:ascii="Garamond" w:hAnsi="Garamond"/>
          </w:rPr>
          <w:fldChar w:fldCharType="separate"/>
        </w:r>
        <w:r w:rsidRPr="00514434">
          <w:rPr>
            <w:rFonts w:ascii="Garamond" w:hAnsi="Garamond"/>
            <w:noProof/>
          </w:rPr>
          <w:t>2</w:t>
        </w:r>
        <w:r w:rsidRPr="00514434">
          <w:rPr>
            <w:rFonts w:ascii="Garamond" w:hAnsi="Garamond"/>
            <w:noProof/>
          </w:rPr>
          <w:fldChar w:fldCharType="end"/>
        </w:r>
      </w:p>
    </w:sdtContent>
  </w:sdt>
  <w:p w14:paraId="1215E789" w14:textId="77777777" w:rsidR="006508E4" w:rsidRDefault="0065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54307" w14:textId="77777777" w:rsidR="00C823EB" w:rsidRDefault="00C823EB" w:rsidP="008D17B1">
      <w:pPr>
        <w:spacing w:after="0" w:line="240" w:lineRule="auto"/>
      </w:pPr>
      <w:r>
        <w:separator/>
      </w:r>
    </w:p>
  </w:footnote>
  <w:footnote w:type="continuationSeparator" w:id="0">
    <w:p w14:paraId="49C210DE" w14:textId="77777777" w:rsidR="00C823EB" w:rsidRDefault="00C823EB" w:rsidP="008D17B1">
      <w:pPr>
        <w:spacing w:after="0" w:line="240" w:lineRule="auto"/>
      </w:pPr>
      <w:r>
        <w:continuationSeparator/>
      </w:r>
    </w:p>
  </w:footnote>
  <w:footnote w:id="1">
    <w:p w14:paraId="658A8571" w14:textId="67C89662" w:rsidR="00AC3BB2" w:rsidRPr="005602A7" w:rsidRDefault="00AC3BB2" w:rsidP="001340AF">
      <w:pPr>
        <w:pStyle w:val="FootnoteText"/>
        <w:jc w:val="both"/>
        <w:rPr>
          <w:rFonts w:ascii="Garamond" w:hAnsi="Garamond"/>
          <w:lang w:val="en-US"/>
        </w:rPr>
      </w:pPr>
      <w:r w:rsidRPr="005602A7">
        <w:rPr>
          <w:rStyle w:val="FootnoteReference"/>
          <w:rFonts w:ascii="Garamond" w:hAnsi="Garamond"/>
        </w:rPr>
        <w:t>*</w:t>
      </w:r>
      <w:r w:rsidRPr="005602A7">
        <w:rPr>
          <w:rFonts w:ascii="Garamond" w:hAnsi="Garamond"/>
        </w:rPr>
        <w:t xml:space="preserve"> Working draft</w:t>
      </w:r>
      <w:r w:rsidR="00F8335D" w:rsidRPr="005602A7">
        <w:rPr>
          <w:rFonts w:ascii="Garamond" w:hAnsi="Garamond"/>
        </w:rPr>
        <w:t xml:space="preserve">. </w:t>
      </w:r>
      <w:r w:rsidR="005602A7">
        <w:rPr>
          <w:rFonts w:ascii="Garamond" w:hAnsi="Garamond"/>
        </w:rPr>
        <w:t xml:space="preserve">Please do not cite or circulate. </w:t>
      </w:r>
    </w:p>
  </w:footnote>
  <w:footnote w:id="2">
    <w:p w14:paraId="4E3E6C88" w14:textId="52F5DEDE" w:rsidR="00132FBE" w:rsidRPr="005602A7" w:rsidRDefault="00132FB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See </w:t>
      </w:r>
      <w:r w:rsidRPr="005602A7">
        <w:rPr>
          <w:rFonts w:ascii="Garamond" w:hAnsi="Garamond" w:cs="Times New Roman"/>
          <w:lang w:val="en-US"/>
        </w:rPr>
        <w:t xml:space="preserve">Laura Visser, </w:t>
      </w:r>
      <w:r w:rsidRPr="005602A7">
        <w:rPr>
          <w:rFonts w:ascii="Garamond" w:hAnsi="Garamond" w:cs="Times New Roman"/>
          <w:i/>
          <w:iCs/>
          <w:lang w:val="en-US"/>
        </w:rPr>
        <w:t xml:space="preserve">May the Force Be With You: The Legal Classification of Intervention by Invitation, </w:t>
      </w:r>
      <w:r w:rsidRPr="005602A7">
        <w:rPr>
          <w:rFonts w:ascii="Garamond" w:hAnsi="Garamond" w:cs="Times New Roman"/>
          <w:lang w:val="en-US"/>
        </w:rPr>
        <w:t xml:space="preserve">66(1) </w:t>
      </w:r>
      <w:r w:rsidRPr="005602A7">
        <w:rPr>
          <w:rFonts w:ascii="Garamond" w:hAnsi="Garamond" w:cs="Times New Roman"/>
          <w:smallCaps/>
          <w:lang w:val="en-US"/>
        </w:rPr>
        <w:t>Netherlands International Law Review</w:t>
      </w:r>
      <w:r w:rsidRPr="005602A7">
        <w:rPr>
          <w:rFonts w:ascii="Garamond" w:hAnsi="Garamond" w:cs="Times New Roman"/>
          <w:lang w:val="en-US"/>
        </w:rPr>
        <w:t xml:space="preserve"> 21</w:t>
      </w:r>
      <w:r w:rsidR="0091207B" w:rsidRPr="005602A7">
        <w:rPr>
          <w:rFonts w:ascii="Garamond" w:hAnsi="Garamond" w:cs="Times New Roman"/>
          <w:lang w:val="en-US"/>
        </w:rPr>
        <w:t>, 32, 39-42</w:t>
      </w:r>
      <w:r w:rsidRPr="005602A7">
        <w:rPr>
          <w:rFonts w:ascii="Garamond" w:hAnsi="Garamond" w:cs="Times New Roman"/>
          <w:lang w:val="en-US"/>
        </w:rPr>
        <w:t xml:space="preserve"> (2019).</w:t>
      </w:r>
    </w:p>
  </w:footnote>
  <w:footnote w:id="3">
    <w:p w14:paraId="064B3F04" w14:textId="77777777" w:rsidR="00132FBE" w:rsidRPr="005602A7" w:rsidRDefault="00132FB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Art. 25, </w:t>
      </w:r>
      <w:r w:rsidRPr="005602A7">
        <w:rPr>
          <w:rFonts w:ascii="Garamond" w:hAnsi="Garamond"/>
          <w:lang w:val="en-US"/>
        </w:rPr>
        <w:t>ECOWAS Mechanism for Conflict Prevention, Management, Resolution, Peace-Keeping and Security (1999)</w:t>
      </w:r>
      <w:r w:rsidRPr="005602A7">
        <w:rPr>
          <w:rFonts w:ascii="Garamond" w:hAnsi="Garamond"/>
        </w:rPr>
        <w:t xml:space="preserve">. </w:t>
      </w:r>
    </w:p>
  </w:footnote>
  <w:footnote w:id="4">
    <w:p w14:paraId="220198CE" w14:textId="77777777" w:rsidR="0091207B" w:rsidRPr="005602A7" w:rsidRDefault="0091207B"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See, </w:t>
      </w:r>
      <w:r w:rsidRPr="005602A7">
        <w:rPr>
          <w:rFonts w:ascii="Garamond" w:hAnsi="Garamond" w:cs="Times New Roman"/>
        </w:rPr>
        <w:t xml:space="preserve">Russell </w:t>
      </w:r>
      <w:r w:rsidRPr="005602A7">
        <w:rPr>
          <w:rFonts w:ascii="Garamond" w:hAnsi="Garamond" w:cs="Times New Roman"/>
          <w:lang w:val="en-US"/>
        </w:rPr>
        <w:t xml:space="preserve">Buchan and Nicholas </w:t>
      </w:r>
      <w:proofErr w:type="spellStart"/>
      <w:r w:rsidRPr="005602A7">
        <w:rPr>
          <w:rFonts w:ascii="Garamond" w:hAnsi="Garamond" w:cs="Times New Roman"/>
          <w:lang w:val="en-US"/>
        </w:rPr>
        <w:t>Tsagourias</w:t>
      </w:r>
      <w:proofErr w:type="spellEnd"/>
      <w:r w:rsidRPr="005602A7">
        <w:rPr>
          <w:rFonts w:ascii="Garamond" w:hAnsi="Garamond" w:cs="Times New Roman"/>
          <w:lang w:val="en-US"/>
        </w:rPr>
        <w:t xml:space="preserve">, </w:t>
      </w:r>
      <w:r w:rsidRPr="005602A7">
        <w:rPr>
          <w:rFonts w:ascii="Garamond" w:hAnsi="Garamond" w:cs="Times New Roman"/>
          <w:i/>
          <w:iCs/>
          <w:lang w:val="en-US"/>
        </w:rPr>
        <w:t>The Niger Coup and the Prospect of ECOWAS Military Intervention: An International Law Appraisal</w:t>
      </w:r>
      <w:r w:rsidRPr="005602A7">
        <w:rPr>
          <w:rFonts w:ascii="Garamond" w:hAnsi="Garamond" w:cs="Times New Roman"/>
          <w:lang w:val="en-US"/>
        </w:rPr>
        <w:t xml:space="preserve">, </w:t>
      </w:r>
      <w:r w:rsidRPr="005602A7">
        <w:rPr>
          <w:rFonts w:ascii="Garamond" w:hAnsi="Garamond" w:cs="Times New Roman"/>
          <w:smallCaps/>
          <w:lang w:val="en-US"/>
        </w:rPr>
        <w:t>Articles of War</w:t>
      </w:r>
      <w:r w:rsidRPr="005602A7">
        <w:rPr>
          <w:rFonts w:ascii="Garamond" w:hAnsi="Garamond" w:cs="Times New Roman"/>
          <w:lang w:val="en-US"/>
        </w:rPr>
        <w:t>, (August 21 2023) https://lieber.westpoint.edu/niger-coup-ecowas-military-intervention-international-law-appraisal/</w:t>
      </w:r>
      <w:r w:rsidRPr="005602A7">
        <w:rPr>
          <w:rFonts w:ascii="Garamond" w:hAnsi="Garamond" w:cs="Times New Roman"/>
        </w:rPr>
        <w:t xml:space="preserve">. </w:t>
      </w:r>
    </w:p>
  </w:footnote>
  <w:footnote w:id="5">
    <w:p w14:paraId="60BE46C6" w14:textId="39071D80" w:rsidR="00132FBE" w:rsidRPr="005602A7" w:rsidRDefault="00132FB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See for instance, Art. 4(h), Constitutive Act of the African Union (2000); art. 7, </w:t>
      </w:r>
      <w:proofErr w:type="spellStart"/>
      <w:r w:rsidRPr="005602A7">
        <w:rPr>
          <w:rFonts w:ascii="Garamond" w:hAnsi="Garamond"/>
        </w:rPr>
        <w:t>Pacte</w:t>
      </w:r>
      <w:proofErr w:type="spellEnd"/>
      <w:r w:rsidRPr="005602A7">
        <w:rPr>
          <w:rFonts w:ascii="Garamond" w:hAnsi="Garamond"/>
        </w:rPr>
        <w:t xml:space="preserve"> </w:t>
      </w:r>
      <w:proofErr w:type="spellStart"/>
      <w:r w:rsidRPr="005602A7">
        <w:rPr>
          <w:rFonts w:ascii="Garamond" w:hAnsi="Garamond"/>
        </w:rPr>
        <w:t>d’Assistance</w:t>
      </w:r>
      <w:proofErr w:type="spellEnd"/>
      <w:r w:rsidRPr="005602A7">
        <w:rPr>
          <w:rFonts w:ascii="Garamond" w:hAnsi="Garamond"/>
        </w:rPr>
        <w:t xml:space="preserve"> </w:t>
      </w:r>
      <w:proofErr w:type="spellStart"/>
      <w:r w:rsidRPr="005602A7">
        <w:rPr>
          <w:rFonts w:ascii="Garamond" w:hAnsi="Garamond"/>
        </w:rPr>
        <w:t>Mutuelle</w:t>
      </w:r>
      <w:proofErr w:type="spellEnd"/>
      <w:r w:rsidRPr="005602A7">
        <w:rPr>
          <w:rFonts w:ascii="Garamond" w:hAnsi="Garamond"/>
        </w:rPr>
        <w:t xml:space="preserve"> of the Economic Community of Central Africa States; Article 4(8) of the Protocol on Non-Aggression and Mutual Defence of the International Conference on the Greak Lakes Region; art. 20, Inter-American Democratic Charter (2001) For an interpretation of the OAS’ powers to use force, see Cedric </w:t>
      </w:r>
      <w:proofErr w:type="spellStart"/>
      <w:r w:rsidRPr="005602A7">
        <w:rPr>
          <w:rFonts w:ascii="Garamond" w:hAnsi="Garamond"/>
        </w:rPr>
        <w:t>Ryngaert</w:t>
      </w:r>
      <w:proofErr w:type="spellEnd"/>
      <w:r w:rsidRPr="005602A7">
        <w:rPr>
          <w:rFonts w:ascii="Garamond" w:hAnsi="Garamond"/>
        </w:rPr>
        <w:t xml:space="preserve">, </w:t>
      </w:r>
      <w:r w:rsidRPr="005602A7">
        <w:rPr>
          <w:rFonts w:ascii="Garamond" w:hAnsi="Garamond"/>
          <w:i/>
          <w:iCs/>
        </w:rPr>
        <w:t>Pro-democratic Intervention in International Law</w:t>
      </w:r>
      <w:r w:rsidRPr="005602A7">
        <w:rPr>
          <w:rFonts w:ascii="Garamond" w:hAnsi="Garamond"/>
        </w:rPr>
        <w:t xml:space="preserve">, </w:t>
      </w:r>
      <w:r w:rsidRPr="005602A7">
        <w:rPr>
          <w:rFonts w:ascii="Garamond" w:hAnsi="Garamond"/>
          <w:smallCaps/>
        </w:rPr>
        <w:t>Institute for International Law</w:t>
      </w:r>
      <w:r w:rsidRPr="005602A7">
        <w:rPr>
          <w:rFonts w:ascii="Garamond" w:hAnsi="Garamond"/>
        </w:rPr>
        <w:t>, Working Paper No. 53</w:t>
      </w:r>
      <w:r w:rsidR="00DB5FC4" w:rsidRPr="005602A7">
        <w:rPr>
          <w:rFonts w:ascii="Garamond" w:hAnsi="Garamond"/>
        </w:rPr>
        <w:t>, section 6</w:t>
      </w:r>
      <w:r w:rsidRPr="005602A7">
        <w:rPr>
          <w:rFonts w:ascii="Garamond" w:hAnsi="Garamond"/>
        </w:rPr>
        <w:t xml:space="preserve"> (Apr. 2004). </w:t>
      </w:r>
    </w:p>
  </w:footnote>
  <w:footnote w:id="6">
    <w:p w14:paraId="583D226D" w14:textId="083B24BC" w:rsidR="001034F6" w:rsidRPr="005602A7" w:rsidRDefault="001034F6"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cs="Times New Roman"/>
          <w:lang w:val="en-US"/>
        </w:rPr>
        <w:t xml:space="preserve">Buchan and </w:t>
      </w:r>
      <w:proofErr w:type="spellStart"/>
      <w:r w:rsidRPr="005602A7">
        <w:rPr>
          <w:rFonts w:ascii="Garamond" w:hAnsi="Garamond" w:cs="Times New Roman"/>
          <w:lang w:val="en-US"/>
        </w:rPr>
        <w:t>Tsagourias</w:t>
      </w:r>
      <w:proofErr w:type="spellEnd"/>
      <w:r w:rsidRPr="005602A7">
        <w:rPr>
          <w:rFonts w:ascii="Garamond" w:hAnsi="Garamond" w:cs="Times New Roman"/>
          <w:lang w:val="en-US"/>
        </w:rPr>
        <w:t xml:space="preserve">, </w:t>
      </w:r>
      <w:r w:rsidR="0011737E" w:rsidRPr="005602A7">
        <w:rPr>
          <w:rFonts w:ascii="Garamond" w:hAnsi="Garamond" w:cs="Times New Roman"/>
          <w:i/>
          <w:iCs/>
          <w:lang w:val="en-US"/>
        </w:rPr>
        <w:t xml:space="preserve">supra </w:t>
      </w:r>
      <w:r w:rsidR="0011737E" w:rsidRPr="005602A7">
        <w:rPr>
          <w:rFonts w:ascii="Garamond" w:hAnsi="Garamond" w:cs="Times New Roman"/>
          <w:lang w:val="en-US"/>
        </w:rPr>
        <w:t>note 3.</w:t>
      </w:r>
    </w:p>
  </w:footnote>
  <w:footnote w:id="7">
    <w:p w14:paraId="3C5E8F22" w14:textId="2C3783EA" w:rsidR="001034F6" w:rsidRPr="005602A7" w:rsidRDefault="001034F6"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DB5FC4" w:rsidRPr="005602A7">
        <w:rPr>
          <w:rFonts w:ascii="Garamond" w:hAnsi="Garamond" w:cs="Times New Roman"/>
          <w:smallCaps/>
          <w:lang w:val="en-US"/>
        </w:rPr>
        <w:t>Erika de Wet,</w:t>
      </w:r>
      <w:r w:rsidR="00DB5FC4" w:rsidRPr="005602A7">
        <w:rPr>
          <w:rFonts w:ascii="Garamond" w:hAnsi="Garamond" w:cs="Times New Roman"/>
          <w:lang w:val="en-US"/>
        </w:rPr>
        <w:t xml:space="preserve"> </w:t>
      </w:r>
      <w:r w:rsidR="00DB5FC4" w:rsidRPr="005602A7">
        <w:rPr>
          <w:rFonts w:ascii="Garamond" w:hAnsi="Garamond" w:cs="Times New Roman"/>
          <w:smallCaps/>
          <w:lang w:val="en-US"/>
        </w:rPr>
        <w:t>Military Assistance on Request and the Use of Force</w:t>
      </w:r>
      <w:r w:rsidR="00DB5FC4" w:rsidRPr="005602A7">
        <w:rPr>
          <w:rFonts w:ascii="Garamond" w:hAnsi="Garamond" w:cs="Times New Roman"/>
          <w:lang w:val="en-US"/>
        </w:rPr>
        <w:t xml:space="preserve"> (Oxford University Press 2020) &lt;10.1093/law/9780198784401.001.0001&gt;. </w:t>
      </w:r>
    </w:p>
  </w:footnote>
  <w:footnote w:id="8">
    <w:p w14:paraId="43AA0DC3" w14:textId="77777777" w:rsidR="00E05CE6" w:rsidRPr="005602A7" w:rsidRDefault="00E05CE6"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Other treaties provide standing authorizations for force, for different reasons: Article IV, Treaty of Guarantee, United Kingdom of Great Britain and Northern Ireland, Greece and Turkey and Cyprus, (1960) giving each of the guaranteeing </w:t>
      </w:r>
      <w:proofErr w:type="spellStart"/>
      <w:r w:rsidRPr="005602A7">
        <w:rPr>
          <w:rFonts w:ascii="Garamond" w:hAnsi="Garamond"/>
        </w:rPr>
        <w:t>Powes</w:t>
      </w:r>
      <w:proofErr w:type="spellEnd"/>
      <w:r w:rsidRPr="005602A7">
        <w:rPr>
          <w:rFonts w:ascii="Garamond" w:hAnsi="Garamond"/>
        </w:rPr>
        <w:t xml:space="preserve"> the ‘right to take action with the sole aim of re-establishing the state of affairs’’; Treaty Concerning the Permanent Neutrality and Operation of the Panama Canal (1977); Treaties of guarantee have also been concluded for Bosnia-Herzegovina, Comoros, Cambodia, Tajikistan, Djibouti, Togo, Laos, Sri Lanka, Mozambique, Afghanistan, Liberia, Sierra Leone, Somalia, the Chad, and Gabon: for more details refer to </w:t>
      </w:r>
      <w:r w:rsidRPr="005602A7">
        <w:rPr>
          <w:rFonts w:ascii="Garamond" w:hAnsi="Garamond" w:cs="Times New Roman"/>
          <w:lang w:val="en-US"/>
        </w:rPr>
        <w:t xml:space="preserve">David </w:t>
      </w:r>
      <w:proofErr w:type="spellStart"/>
      <w:r w:rsidRPr="005602A7">
        <w:rPr>
          <w:rFonts w:ascii="Garamond" w:hAnsi="Garamond" w:cs="Times New Roman"/>
          <w:lang w:val="en-US"/>
        </w:rPr>
        <w:t>Wippman</w:t>
      </w:r>
      <w:proofErr w:type="spellEnd"/>
      <w:r w:rsidRPr="005602A7">
        <w:rPr>
          <w:rFonts w:ascii="Garamond" w:hAnsi="Garamond" w:cs="Times New Roman"/>
          <w:lang w:val="en-US"/>
        </w:rPr>
        <w:t xml:space="preserve">, </w:t>
      </w:r>
      <w:r w:rsidRPr="005602A7">
        <w:rPr>
          <w:rFonts w:ascii="Garamond" w:hAnsi="Garamond" w:cs="Times New Roman"/>
          <w:i/>
          <w:iCs/>
          <w:lang w:val="en-US"/>
        </w:rPr>
        <w:t>Treaty-Based Intervention: Who Can Say No?</w:t>
      </w:r>
      <w:r w:rsidRPr="005602A7">
        <w:rPr>
          <w:rFonts w:ascii="Garamond" w:hAnsi="Garamond" w:cs="Times New Roman"/>
          <w:lang w:val="en-US"/>
        </w:rPr>
        <w:t xml:space="preserve"> 62 </w:t>
      </w:r>
      <w:r w:rsidRPr="005602A7">
        <w:rPr>
          <w:rFonts w:ascii="Garamond" w:hAnsi="Garamond" w:cs="Times New Roman"/>
          <w:smallCaps/>
          <w:lang w:val="en-US"/>
        </w:rPr>
        <w:t>The University of Chicago Law Review</w:t>
      </w:r>
      <w:r w:rsidRPr="005602A7">
        <w:rPr>
          <w:rFonts w:ascii="Garamond" w:hAnsi="Garamond" w:cs="Times New Roman"/>
          <w:lang w:val="en-US"/>
        </w:rPr>
        <w:t xml:space="preserve">, 607 (1995); </w:t>
      </w:r>
      <w:r w:rsidRPr="005602A7">
        <w:rPr>
          <w:rFonts w:ascii="Garamond" w:hAnsi="Garamond"/>
        </w:rPr>
        <w:t xml:space="preserve">and </w:t>
      </w:r>
      <w:r w:rsidRPr="005602A7">
        <w:rPr>
          <w:rFonts w:ascii="Garamond" w:hAnsi="Garamond" w:cs="Times New Roman"/>
          <w:lang w:val="en-US"/>
        </w:rPr>
        <w:t xml:space="preserve">10th Commission, </w:t>
      </w:r>
      <w:proofErr w:type="spellStart"/>
      <w:r w:rsidRPr="005602A7">
        <w:rPr>
          <w:rFonts w:ascii="Garamond" w:hAnsi="Garamond" w:cs="Times New Roman"/>
          <w:lang w:val="en-US"/>
        </w:rPr>
        <w:t>Institut</w:t>
      </w:r>
      <w:proofErr w:type="spellEnd"/>
      <w:r w:rsidRPr="005602A7">
        <w:rPr>
          <w:rFonts w:ascii="Garamond" w:hAnsi="Garamond" w:cs="Times New Roman"/>
          <w:lang w:val="en-US"/>
        </w:rPr>
        <w:t xml:space="preserve"> de Droit International, </w:t>
      </w:r>
      <w:r w:rsidRPr="005602A7">
        <w:rPr>
          <w:rFonts w:ascii="Garamond" w:hAnsi="Garamond" w:cs="Times New Roman"/>
          <w:i/>
          <w:iCs/>
          <w:lang w:val="en-US"/>
        </w:rPr>
        <w:t xml:space="preserve">Present Problems of the Use of Force in International Law, Sub-group: Intervention by Invitation </w:t>
      </w:r>
      <w:r w:rsidRPr="005602A7">
        <w:rPr>
          <w:rFonts w:ascii="Garamond" w:hAnsi="Garamond" w:cs="Times New Roman"/>
          <w:lang w:val="en-US"/>
        </w:rPr>
        <w:t xml:space="preserve">73 </w:t>
      </w:r>
      <w:proofErr w:type="spellStart"/>
      <w:r w:rsidRPr="005602A7">
        <w:rPr>
          <w:rFonts w:ascii="Garamond" w:hAnsi="Garamond" w:cs="Times New Roman"/>
          <w:smallCaps/>
          <w:lang w:val="en-US"/>
        </w:rPr>
        <w:t>Annuaire</w:t>
      </w:r>
      <w:proofErr w:type="spellEnd"/>
      <w:r w:rsidRPr="005602A7">
        <w:rPr>
          <w:rFonts w:ascii="Garamond" w:hAnsi="Garamond" w:cs="Times New Roman"/>
          <w:smallCaps/>
          <w:lang w:val="en-US"/>
        </w:rPr>
        <w:t xml:space="preserve"> de </w:t>
      </w:r>
      <w:proofErr w:type="spellStart"/>
      <w:r w:rsidRPr="005602A7">
        <w:rPr>
          <w:rFonts w:ascii="Garamond" w:hAnsi="Garamond" w:cs="Times New Roman"/>
          <w:smallCaps/>
          <w:lang w:val="en-US"/>
        </w:rPr>
        <w:t>l’Institut</w:t>
      </w:r>
      <w:proofErr w:type="spellEnd"/>
      <w:r w:rsidRPr="005602A7">
        <w:rPr>
          <w:rFonts w:ascii="Garamond" w:hAnsi="Garamond" w:cs="Times New Roman"/>
          <w:smallCaps/>
          <w:lang w:val="en-US"/>
        </w:rPr>
        <w:t xml:space="preserve"> de droit International</w:t>
      </w:r>
      <w:r w:rsidRPr="005602A7">
        <w:rPr>
          <w:rFonts w:ascii="Garamond" w:hAnsi="Garamond" w:cs="Times New Roman"/>
          <w:lang w:val="en-US"/>
        </w:rPr>
        <w:t xml:space="preserve"> 299, 326 (2009).</w:t>
      </w:r>
    </w:p>
  </w:footnote>
  <w:footnote w:id="9">
    <w:p w14:paraId="6DDED8B7" w14:textId="77777777" w:rsidR="00E05CE6" w:rsidRPr="005602A7" w:rsidRDefault="00E05CE6"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See </w:t>
      </w:r>
      <w:r w:rsidRPr="005602A7">
        <w:rPr>
          <w:rFonts w:ascii="Garamond" w:hAnsi="Garamond"/>
          <w:i/>
          <w:iCs/>
          <w:lang w:val="en-US"/>
        </w:rPr>
        <w:t>Ecowas: Niger, Mali, and Burkina Faso quit West African bloc,</w:t>
      </w:r>
      <w:r w:rsidRPr="005602A7">
        <w:rPr>
          <w:rFonts w:ascii="Garamond" w:hAnsi="Garamond"/>
          <w:lang w:val="en-US"/>
        </w:rPr>
        <w:t xml:space="preserve"> BBC, Jan 29, 2024, https://www.bbc.com/news/world-africa-68122947.  </w:t>
      </w:r>
    </w:p>
  </w:footnote>
  <w:footnote w:id="10">
    <w:p w14:paraId="6D0D67BA" w14:textId="77777777" w:rsidR="003C1824" w:rsidRPr="005602A7" w:rsidRDefault="003C182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Refer to discussion in part 1.1. below. </w:t>
      </w:r>
    </w:p>
  </w:footnote>
  <w:footnote w:id="11">
    <w:p w14:paraId="03B6D75C" w14:textId="77777777" w:rsidR="001034F6" w:rsidRPr="005602A7" w:rsidRDefault="001034F6"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Although standing authorizations are revocable under treaty law, any revocations must abide by the conditions and time limits specified within the relevant treaties. Practically, this could mean that a revocation may not occur at </w:t>
      </w:r>
      <w:proofErr w:type="gramStart"/>
      <w:r w:rsidRPr="005602A7">
        <w:rPr>
          <w:rFonts w:ascii="Garamond" w:hAnsi="Garamond"/>
          <w:lang w:val="en-US"/>
        </w:rPr>
        <w:t>all, or</w:t>
      </w:r>
      <w:proofErr w:type="gramEnd"/>
      <w:r w:rsidRPr="005602A7">
        <w:rPr>
          <w:rFonts w:ascii="Garamond" w:hAnsi="Garamond"/>
          <w:lang w:val="en-US"/>
        </w:rPr>
        <w:t xml:space="preserve"> may not take effect in time to prevent some of the political issues that standing authorizations pose. I will address this in more detail in part 2. </w:t>
      </w:r>
    </w:p>
  </w:footnote>
  <w:footnote w:id="12">
    <w:p w14:paraId="18709F9E" w14:textId="5BDD6A30" w:rsidR="001034F6" w:rsidRPr="005602A7" w:rsidRDefault="001034F6"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Russell Buchan and Nicholas </w:t>
      </w:r>
      <w:proofErr w:type="spellStart"/>
      <w:r w:rsidRPr="005602A7">
        <w:rPr>
          <w:rFonts w:ascii="Garamond" w:hAnsi="Garamond"/>
        </w:rPr>
        <w:t>Tsagourias</w:t>
      </w:r>
      <w:proofErr w:type="spellEnd"/>
      <w:r w:rsidRPr="005602A7">
        <w:rPr>
          <w:rFonts w:ascii="Garamond" w:hAnsi="Garamond"/>
        </w:rPr>
        <w:t xml:space="preserve">, </w:t>
      </w:r>
      <w:r w:rsidRPr="005602A7">
        <w:rPr>
          <w:rFonts w:ascii="Garamond" w:hAnsi="Garamond"/>
          <w:i/>
          <w:iCs/>
        </w:rPr>
        <w:t>Intervention by invitation and the scope of state consent</w:t>
      </w:r>
      <w:r w:rsidRPr="005602A7">
        <w:rPr>
          <w:rFonts w:ascii="Garamond" w:hAnsi="Garamond"/>
        </w:rPr>
        <w:t xml:space="preserve">, 10(2) </w:t>
      </w:r>
      <w:r w:rsidRPr="005602A7">
        <w:rPr>
          <w:rFonts w:ascii="Garamond" w:hAnsi="Garamond"/>
          <w:smallCaps/>
        </w:rPr>
        <w:t>Journal on the Use of Force and International Law</w:t>
      </w:r>
      <w:r w:rsidRPr="005602A7">
        <w:rPr>
          <w:rFonts w:ascii="Garamond" w:hAnsi="Garamond"/>
        </w:rPr>
        <w:t xml:space="preserve">, 252 (2023). </w:t>
      </w:r>
    </w:p>
  </w:footnote>
  <w:footnote w:id="13">
    <w:p w14:paraId="3A0E75BA" w14:textId="0B544CD8" w:rsidR="00556ED4" w:rsidRPr="005602A7" w:rsidRDefault="00556ED4"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Following Besson, I treat the concept of sovereignty as synonymous in the legal and political fields. However, this is distinguishable from the conception of legal sovereignty which is distinct from the conception of political sovereignty</w:t>
      </w:r>
      <w:r w:rsidR="00EB605C" w:rsidRPr="005602A7">
        <w:rPr>
          <w:rFonts w:ascii="Garamond" w:hAnsi="Garamond"/>
          <w:lang w:val="en-US"/>
        </w:rPr>
        <w:t xml:space="preserve">. See, </w:t>
      </w:r>
      <w:r w:rsidR="00EB605C" w:rsidRPr="005602A7">
        <w:rPr>
          <w:rFonts w:ascii="Garamond" w:hAnsi="Garamond"/>
        </w:rPr>
        <w:t xml:space="preserve">Samantha Besson, </w:t>
      </w:r>
      <w:r w:rsidR="00EB605C" w:rsidRPr="005602A7">
        <w:rPr>
          <w:rFonts w:ascii="Garamond" w:hAnsi="Garamond"/>
          <w:i/>
          <w:iCs/>
        </w:rPr>
        <w:t>Sovereignty in Conflict</w:t>
      </w:r>
      <w:r w:rsidR="00EB605C" w:rsidRPr="005602A7">
        <w:rPr>
          <w:rFonts w:ascii="Garamond" w:hAnsi="Garamond"/>
        </w:rPr>
        <w:t xml:space="preserve">, </w:t>
      </w:r>
      <w:r w:rsidR="00EB605C" w:rsidRPr="005602A7">
        <w:rPr>
          <w:rFonts w:ascii="Garamond" w:hAnsi="Garamond"/>
          <w:i/>
          <w:iCs/>
        </w:rPr>
        <w:t>in</w:t>
      </w:r>
      <w:r w:rsidR="00EB605C" w:rsidRPr="005602A7">
        <w:rPr>
          <w:rFonts w:ascii="Garamond" w:hAnsi="Garamond"/>
        </w:rPr>
        <w:t xml:space="preserve"> </w:t>
      </w:r>
      <w:r w:rsidR="00EB605C" w:rsidRPr="005602A7">
        <w:rPr>
          <w:rFonts w:ascii="Garamond" w:hAnsi="Garamond"/>
          <w:smallCaps/>
        </w:rPr>
        <w:t xml:space="preserve">The Sovereignty of States and the Sovereignty of International Law </w:t>
      </w:r>
      <w:r w:rsidR="00EB605C" w:rsidRPr="005602A7">
        <w:rPr>
          <w:rFonts w:ascii="Garamond" w:hAnsi="Garamond"/>
        </w:rPr>
        <w:t>(S. Tierney and C. Warbrick, eds.) 137</w:t>
      </w:r>
      <w:r w:rsidR="00EB605C" w:rsidRPr="005602A7">
        <w:rPr>
          <w:rFonts w:ascii="Garamond" w:hAnsi="Garamond"/>
          <w:lang w:val="en-US"/>
        </w:rPr>
        <w:t>.</w:t>
      </w:r>
      <w:r w:rsidRPr="005602A7">
        <w:rPr>
          <w:rFonts w:ascii="Garamond" w:hAnsi="Garamond"/>
          <w:lang w:val="en-US"/>
        </w:rPr>
        <w:t xml:space="preserve"> </w:t>
      </w:r>
    </w:p>
  </w:footnote>
  <w:footnote w:id="14">
    <w:p w14:paraId="62C16141" w14:textId="77777777" w:rsidR="00C110F2" w:rsidRPr="005602A7" w:rsidRDefault="00C110F2"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Sovereignty in the domestic and international legal orders are to be distinguished from internal and external dimensions of sovereignty. </w:t>
      </w:r>
    </w:p>
  </w:footnote>
  <w:footnote w:id="15">
    <w:p w14:paraId="69129950" w14:textId="5C236016" w:rsidR="00C110F2" w:rsidRPr="005602A7" w:rsidRDefault="00C110F2"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8919DA" w:rsidRPr="005602A7">
        <w:rPr>
          <w:rFonts w:ascii="Garamond" w:hAnsi="Garamond"/>
          <w:lang w:val="en-US"/>
        </w:rPr>
        <w:t xml:space="preserve">Although the paradox may be relevant to other discussions, such </w:t>
      </w:r>
      <w:r w:rsidRPr="005602A7">
        <w:rPr>
          <w:rFonts w:ascii="Garamond" w:hAnsi="Garamond"/>
          <w:lang w:val="en-US"/>
        </w:rPr>
        <w:t>as state-building through international institutions</w:t>
      </w:r>
      <w:r w:rsidR="00EB605C" w:rsidRPr="005602A7">
        <w:rPr>
          <w:rFonts w:ascii="Garamond" w:hAnsi="Garamond"/>
          <w:lang w:val="en-US"/>
        </w:rPr>
        <w:t xml:space="preserve"> - s</w:t>
      </w:r>
      <w:r w:rsidRPr="005602A7">
        <w:rPr>
          <w:rFonts w:ascii="Garamond" w:hAnsi="Garamond"/>
          <w:lang w:val="en-US"/>
        </w:rPr>
        <w:t xml:space="preserve">ee, </w:t>
      </w:r>
      <w:r w:rsidRPr="005602A7">
        <w:rPr>
          <w:rFonts w:ascii="Garamond" w:hAnsi="Garamond"/>
          <w:smallCaps/>
        </w:rPr>
        <w:t xml:space="preserve">Dominik </w:t>
      </w:r>
      <w:proofErr w:type="spellStart"/>
      <w:r w:rsidRPr="005602A7">
        <w:rPr>
          <w:rFonts w:ascii="Garamond" w:hAnsi="Garamond"/>
          <w:smallCaps/>
        </w:rPr>
        <w:t>Zaum</w:t>
      </w:r>
      <w:proofErr w:type="spellEnd"/>
      <w:r w:rsidRPr="005602A7">
        <w:rPr>
          <w:rFonts w:ascii="Garamond" w:hAnsi="Garamond"/>
          <w:smallCaps/>
        </w:rPr>
        <w:t>, The Sovereignty Paradox,</w:t>
      </w:r>
      <w:r w:rsidRPr="005602A7">
        <w:rPr>
          <w:rFonts w:ascii="Garamond" w:hAnsi="Garamond"/>
        </w:rPr>
        <w:t xml:space="preserve"> (OUP, 2007)); and </w:t>
      </w:r>
      <w:r w:rsidRPr="005602A7">
        <w:rPr>
          <w:rFonts w:ascii="Garamond" w:hAnsi="Garamond"/>
          <w:lang w:val="en-US"/>
        </w:rPr>
        <w:t>the degree to which states are obligated extra-territorially to citizens of other states</w:t>
      </w:r>
      <w:r w:rsidR="00EB605C" w:rsidRPr="005602A7">
        <w:rPr>
          <w:rFonts w:ascii="Garamond" w:hAnsi="Garamond"/>
          <w:lang w:val="en-US"/>
        </w:rPr>
        <w:t xml:space="preserve"> - s</w:t>
      </w:r>
      <w:r w:rsidRPr="005602A7">
        <w:rPr>
          <w:rFonts w:ascii="Garamond" w:hAnsi="Garamond"/>
          <w:lang w:val="en-US"/>
        </w:rPr>
        <w:t xml:space="preserve">ee, </w:t>
      </w:r>
      <w:r w:rsidRPr="005602A7">
        <w:rPr>
          <w:rFonts w:ascii="Garamond" w:hAnsi="Garamond"/>
        </w:rPr>
        <w:t xml:space="preserve">Eyal </w:t>
      </w:r>
      <w:proofErr w:type="spellStart"/>
      <w:r w:rsidRPr="005602A7">
        <w:rPr>
          <w:rFonts w:ascii="Garamond" w:hAnsi="Garamond"/>
        </w:rPr>
        <w:t>Benvenisti</w:t>
      </w:r>
      <w:proofErr w:type="spellEnd"/>
      <w:r w:rsidRPr="005602A7">
        <w:rPr>
          <w:rFonts w:ascii="Garamond" w:hAnsi="Garamond"/>
        </w:rPr>
        <w:t xml:space="preserve">, </w:t>
      </w:r>
      <w:r w:rsidRPr="005602A7">
        <w:rPr>
          <w:rFonts w:ascii="Garamond" w:hAnsi="Garamond"/>
          <w:i/>
          <w:iCs/>
        </w:rPr>
        <w:t>The Paradoxes of Sovereigns as Trustees of Humanity: Concluding Remarks</w:t>
      </w:r>
      <w:r w:rsidRPr="005602A7">
        <w:rPr>
          <w:rFonts w:ascii="Garamond" w:hAnsi="Garamond"/>
        </w:rPr>
        <w:t xml:space="preserve">, 16 </w:t>
      </w:r>
      <w:r w:rsidRPr="005602A7">
        <w:rPr>
          <w:rFonts w:ascii="Garamond" w:hAnsi="Garamond"/>
          <w:smallCaps/>
        </w:rPr>
        <w:t>Theoretical Inquiries in Law</w:t>
      </w:r>
      <w:r w:rsidRPr="005602A7">
        <w:rPr>
          <w:rFonts w:ascii="Garamond" w:hAnsi="Garamond"/>
        </w:rPr>
        <w:t>, 535</w:t>
      </w:r>
      <w:r w:rsidR="00EB605C" w:rsidRPr="005602A7">
        <w:rPr>
          <w:rFonts w:ascii="Garamond" w:hAnsi="Garamond"/>
        </w:rPr>
        <w:t xml:space="preserve"> (2015)</w:t>
      </w:r>
      <w:r w:rsidRPr="005602A7">
        <w:rPr>
          <w:rFonts w:ascii="Garamond" w:hAnsi="Garamond"/>
        </w:rPr>
        <w:t>.</w:t>
      </w:r>
      <w:r w:rsidRPr="005602A7">
        <w:rPr>
          <w:rFonts w:ascii="Garamond" w:hAnsi="Garamond"/>
          <w:lang w:val="en-US"/>
        </w:rPr>
        <w:t xml:space="preserve"> </w:t>
      </w:r>
    </w:p>
  </w:footnote>
  <w:footnote w:id="16">
    <w:p w14:paraId="2C9E4368" w14:textId="77777777" w:rsidR="00D35AD0" w:rsidRPr="005602A7" w:rsidRDefault="00D35AD0"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A brief clarification here: the word ‘erosion’, when employed in this paper, is normatively loaded, signifying an illegitimate incursion on sovereignty. Further discussion on this will follow in Part 1.3.</w:t>
      </w:r>
    </w:p>
  </w:footnote>
  <w:footnote w:id="17">
    <w:p w14:paraId="7901DBAC" w14:textId="2996DE70" w:rsidR="00743B57" w:rsidRPr="005602A7" w:rsidRDefault="00743B57"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This has prompted some authors to contend that sovereignty is an “essentially contested concept” – see Samantha </w:t>
      </w:r>
      <w:r w:rsidR="00EB605C" w:rsidRPr="005602A7">
        <w:rPr>
          <w:rFonts w:ascii="Garamond" w:hAnsi="Garamond"/>
        </w:rPr>
        <w:t xml:space="preserve">Besson, </w:t>
      </w:r>
      <w:r w:rsidR="00EB605C" w:rsidRPr="005602A7">
        <w:rPr>
          <w:rFonts w:ascii="Garamond" w:hAnsi="Garamond"/>
          <w:i/>
          <w:iCs/>
        </w:rPr>
        <w:t>Sovereignty in Conflict</w:t>
      </w:r>
      <w:r w:rsidR="00EB605C" w:rsidRPr="005602A7">
        <w:rPr>
          <w:rFonts w:ascii="Garamond" w:hAnsi="Garamond"/>
        </w:rPr>
        <w:t xml:space="preserve">, </w:t>
      </w:r>
      <w:r w:rsidR="0011737E" w:rsidRPr="005602A7">
        <w:rPr>
          <w:rFonts w:ascii="Garamond" w:hAnsi="Garamond"/>
          <w:i/>
          <w:iCs/>
        </w:rPr>
        <w:t xml:space="preserve">supra </w:t>
      </w:r>
      <w:r w:rsidR="0011737E" w:rsidRPr="005602A7">
        <w:rPr>
          <w:rFonts w:ascii="Garamond" w:hAnsi="Garamond"/>
        </w:rPr>
        <w:t>note 12</w:t>
      </w:r>
      <w:r w:rsidR="00EB605C" w:rsidRPr="005602A7">
        <w:rPr>
          <w:rFonts w:ascii="Garamond" w:hAnsi="Garamond"/>
        </w:rPr>
        <w:t>, at 146-164</w:t>
      </w:r>
      <w:r w:rsidRPr="005602A7">
        <w:rPr>
          <w:rFonts w:ascii="Garamond" w:hAnsi="Garamond"/>
        </w:rPr>
        <w:t xml:space="preserve">; and Dan </w:t>
      </w:r>
      <w:proofErr w:type="spellStart"/>
      <w:r w:rsidRPr="005602A7">
        <w:rPr>
          <w:rFonts w:ascii="Garamond" w:hAnsi="Garamond"/>
        </w:rPr>
        <w:t>Sarooshi</w:t>
      </w:r>
      <w:proofErr w:type="spellEnd"/>
      <w:r w:rsidRPr="005602A7">
        <w:rPr>
          <w:rFonts w:ascii="Garamond" w:hAnsi="Garamond"/>
        </w:rPr>
        <w:t xml:space="preserve">, </w:t>
      </w:r>
      <w:r w:rsidRPr="005602A7">
        <w:rPr>
          <w:rFonts w:ascii="Garamond" w:hAnsi="Garamond"/>
          <w:i/>
          <w:iCs/>
        </w:rPr>
        <w:t xml:space="preserve">Sovereignty, Economic Autonomy, the United States, and the International Trading System: Representations of a Relationship, </w:t>
      </w:r>
      <w:r w:rsidRPr="005602A7">
        <w:rPr>
          <w:rFonts w:ascii="Garamond" w:hAnsi="Garamond"/>
        </w:rPr>
        <w:t xml:space="preserve">15(4) EJIL 651 (2004). </w:t>
      </w:r>
    </w:p>
  </w:footnote>
  <w:footnote w:id="18">
    <w:p w14:paraId="57555264" w14:textId="77777777" w:rsidR="00743B57" w:rsidRPr="005602A7" w:rsidRDefault="00743B57"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Danil Philpott, </w:t>
      </w:r>
      <w:r w:rsidRPr="005602A7">
        <w:rPr>
          <w:rFonts w:ascii="Garamond" w:hAnsi="Garamond"/>
          <w:i/>
          <w:iCs/>
        </w:rPr>
        <w:t>Sovereignty,</w:t>
      </w:r>
      <w:r w:rsidRPr="005602A7">
        <w:rPr>
          <w:rFonts w:ascii="Garamond" w:hAnsi="Garamond"/>
        </w:rPr>
        <w:t xml:space="preserve"> </w:t>
      </w:r>
      <w:r w:rsidRPr="005602A7">
        <w:rPr>
          <w:rFonts w:ascii="Garamond" w:hAnsi="Garamond"/>
          <w:smallCaps/>
        </w:rPr>
        <w:t xml:space="preserve">Stanford </w:t>
      </w:r>
      <w:proofErr w:type="spellStart"/>
      <w:r w:rsidRPr="005602A7">
        <w:rPr>
          <w:rFonts w:ascii="Garamond" w:hAnsi="Garamond"/>
          <w:smallCaps/>
        </w:rPr>
        <w:t>Encyclopedia</w:t>
      </w:r>
      <w:proofErr w:type="spellEnd"/>
      <w:r w:rsidRPr="005602A7">
        <w:rPr>
          <w:rFonts w:ascii="Garamond" w:hAnsi="Garamond"/>
          <w:smallCaps/>
        </w:rPr>
        <w:t xml:space="preserve"> of Philosophy,</w:t>
      </w:r>
      <w:r w:rsidRPr="005602A7">
        <w:rPr>
          <w:rFonts w:ascii="Garamond" w:hAnsi="Garamond"/>
        </w:rPr>
        <w:t xml:space="preserve"> </w:t>
      </w:r>
      <w:hyperlink r:id="rId1" w:history="1">
        <w:r w:rsidRPr="005602A7">
          <w:rPr>
            <w:rStyle w:val="Hyperlink"/>
            <w:rFonts w:ascii="Garamond" w:hAnsi="Garamond"/>
            <w:color w:val="auto"/>
          </w:rPr>
          <w:t>https://plato.stanford.edu/entries/sovereignty/</w:t>
        </w:r>
      </w:hyperlink>
      <w:r w:rsidRPr="005602A7">
        <w:rPr>
          <w:rFonts w:ascii="Garamond" w:hAnsi="Garamond"/>
        </w:rPr>
        <w:t xml:space="preserve">. </w:t>
      </w:r>
    </w:p>
  </w:footnote>
  <w:footnote w:id="19">
    <w:p w14:paraId="7F46985F" w14:textId="77777777" w:rsidR="00743B57" w:rsidRPr="005602A7" w:rsidRDefault="00743B57"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Samantha Besson, </w:t>
      </w:r>
      <w:r w:rsidRPr="005602A7">
        <w:rPr>
          <w:rFonts w:ascii="Garamond" w:hAnsi="Garamond"/>
          <w:i/>
          <w:iCs/>
        </w:rPr>
        <w:t>Sovereignty,</w:t>
      </w:r>
      <w:r w:rsidRPr="005602A7">
        <w:rPr>
          <w:rFonts w:ascii="Garamond" w:hAnsi="Garamond"/>
        </w:rPr>
        <w:t xml:space="preserve"> </w:t>
      </w:r>
      <w:r w:rsidRPr="005602A7">
        <w:rPr>
          <w:rFonts w:ascii="Garamond" w:hAnsi="Garamond"/>
          <w:smallCaps/>
        </w:rPr>
        <w:t xml:space="preserve">Max Planck </w:t>
      </w:r>
      <w:proofErr w:type="spellStart"/>
      <w:r w:rsidRPr="005602A7">
        <w:rPr>
          <w:rFonts w:ascii="Garamond" w:hAnsi="Garamond"/>
          <w:smallCaps/>
        </w:rPr>
        <w:t>Encyclopedia</w:t>
      </w:r>
      <w:proofErr w:type="spellEnd"/>
      <w:r w:rsidRPr="005602A7">
        <w:rPr>
          <w:rFonts w:ascii="Garamond" w:hAnsi="Garamond"/>
          <w:smallCaps/>
        </w:rPr>
        <w:t xml:space="preserve"> of Public International Law</w:t>
      </w:r>
      <w:r w:rsidRPr="005602A7">
        <w:rPr>
          <w:rFonts w:ascii="Garamond" w:hAnsi="Garamond"/>
        </w:rPr>
        <w:t xml:space="preserve">, (updated Apr. 2011). </w:t>
      </w:r>
    </w:p>
  </w:footnote>
  <w:footnote w:id="20">
    <w:p w14:paraId="5B8C0059" w14:textId="47E682B0" w:rsidR="00817DE9" w:rsidRPr="005602A7" w:rsidRDefault="00817DE9"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Following </w:t>
      </w:r>
      <w:proofErr w:type="spellStart"/>
      <w:r w:rsidRPr="005602A7">
        <w:rPr>
          <w:rFonts w:ascii="Garamond" w:hAnsi="Garamond"/>
        </w:rPr>
        <w:t>Waltermann</w:t>
      </w:r>
      <w:proofErr w:type="spellEnd"/>
      <w:r w:rsidR="00A027FF" w:rsidRPr="005602A7">
        <w:rPr>
          <w:rFonts w:ascii="Garamond" w:hAnsi="Garamond"/>
        </w:rPr>
        <w:t>,</w:t>
      </w:r>
      <w:r w:rsidRPr="005602A7">
        <w:rPr>
          <w:rFonts w:ascii="Garamond" w:hAnsi="Garamond"/>
        </w:rPr>
        <w:t xml:space="preserve"> I take the meaning of a legal concept to be determined by the legal system in which it plays a role and to be identifiable through an inferential analysis of legal materials.</w:t>
      </w:r>
      <w:r w:rsidR="00A027FF" w:rsidRPr="005602A7">
        <w:rPr>
          <w:rFonts w:ascii="Garamond" w:hAnsi="Garamond"/>
        </w:rPr>
        <w:t xml:space="preserve"> For more, see: Antonia </w:t>
      </w:r>
      <w:proofErr w:type="spellStart"/>
      <w:r w:rsidR="00A027FF" w:rsidRPr="005602A7">
        <w:rPr>
          <w:rFonts w:ascii="Garamond" w:hAnsi="Garamond"/>
        </w:rPr>
        <w:t>Waltermann</w:t>
      </w:r>
      <w:proofErr w:type="spellEnd"/>
      <w:r w:rsidR="00A027FF" w:rsidRPr="005602A7">
        <w:rPr>
          <w:rFonts w:ascii="Garamond" w:hAnsi="Garamond"/>
        </w:rPr>
        <w:t xml:space="preserve">, </w:t>
      </w:r>
      <w:r w:rsidR="00A027FF" w:rsidRPr="005602A7">
        <w:rPr>
          <w:rFonts w:ascii="Garamond" w:hAnsi="Garamond"/>
          <w:i/>
          <w:iCs/>
        </w:rPr>
        <w:t>State Sovereignty as a Legal Status</w:t>
      </w:r>
      <w:r w:rsidR="00F958D0" w:rsidRPr="005602A7">
        <w:rPr>
          <w:rFonts w:ascii="Garamond" w:hAnsi="Garamond"/>
          <w:i/>
          <w:iCs/>
        </w:rPr>
        <w:t>,</w:t>
      </w:r>
      <w:r w:rsidR="00A027FF" w:rsidRPr="005602A7">
        <w:rPr>
          <w:rFonts w:ascii="Garamond" w:hAnsi="Garamond"/>
        </w:rPr>
        <w:t xml:space="preserve"> </w:t>
      </w:r>
      <w:r w:rsidR="00F958D0" w:rsidRPr="005602A7">
        <w:rPr>
          <w:rFonts w:ascii="Garamond" w:hAnsi="Garamond"/>
          <w:i/>
          <w:iCs/>
        </w:rPr>
        <w:t>in</w:t>
      </w:r>
      <w:r w:rsidR="00F958D0" w:rsidRPr="005602A7">
        <w:rPr>
          <w:rFonts w:ascii="Garamond" w:hAnsi="Garamond"/>
        </w:rPr>
        <w:t xml:space="preserve"> </w:t>
      </w:r>
      <w:r w:rsidR="00A027FF" w:rsidRPr="005602A7">
        <w:rPr>
          <w:rFonts w:ascii="Garamond" w:hAnsi="Garamond"/>
          <w:smallCaps/>
        </w:rPr>
        <w:t>Czech Yearbook of International Law: State Sovereignty</w:t>
      </w:r>
      <w:r w:rsidR="00A027FF" w:rsidRPr="005602A7">
        <w:rPr>
          <w:rFonts w:ascii="Garamond" w:hAnsi="Garamond"/>
        </w:rPr>
        <w:t xml:space="preserve"> </w:t>
      </w:r>
      <w:r w:rsidR="00F958D0" w:rsidRPr="005602A7">
        <w:rPr>
          <w:rFonts w:ascii="Garamond" w:hAnsi="Garamond"/>
        </w:rPr>
        <w:t xml:space="preserve">(A. </w:t>
      </w:r>
      <w:proofErr w:type="spellStart"/>
      <w:r w:rsidR="00F958D0" w:rsidRPr="005602A7">
        <w:rPr>
          <w:rFonts w:ascii="Garamond" w:hAnsi="Garamond"/>
        </w:rPr>
        <w:t>Belohvlávek</w:t>
      </w:r>
      <w:proofErr w:type="spellEnd"/>
      <w:r w:rsidR="00F958D0" w:rsidRPr="005602A7">
        <w:rPr>
          <w:rFonts w:ascii="Garamond" w:hAnsi="Garamond"/>
        </w:rPr>
        <w:t xml:space="preserve">, &amp; N. </w:t>
      </w:r>
      <w:proofErr w:type="spellStart"/>
      <w:r w:rsidR="00F958D0" w:rsidRPr="005602A7">
        <w:rPr>
          <w:rFonts w:ascii="Garamond" w:hAnsi="Garamond"/>
        </w:rPr>
        <w:t>Rozehnalová</w:t>
      </w:r>
      <w:proofErr w:type="spellEnd"/>
      <w:r w:rsidR="00F958D0" w:rsidRPr="005602A7">
        <w:rPr>
          <w:rFonts w:ascii="Garamond" w:hAnsi="Garamond"/>
        </w:rPr>
        <w:t>, eds</w:t>
      </w:r>
      <w:r w:rsidR="00DA6A1E" w:rsidRPr="005602A7">
        <w:rPr>
          <w:rFonts w:ascii="Garamond" w:hAnsi="Garamond"/>
        </w:rPr>
        <w:t>, Vol. X 2019</w:t>
      </w:r>
      <w:r w:rsidR="00F958D0" w:rsidRPr="005602A7">
        <w:rPr>
          <w:rFonts w:ascii="Garamond" w:hAnsi="Garamond"/>
        </w:rPr>
        <w:t>)</w:t>
      </w:r>
      <w:r w:rsidR="00A027FF" w:rsidRPr="005602A7">
        <w:rPr>
          <w:rFonts w:ascii="Garamond" w:hAnsi="Garamond"/>
        </w:rPr>
        <w:t xml:space="preserve"> 311</w:t>
      </w:r>
      <w:r w:rsidR="003A29D9" w:rsidRPr="005602A7">
        <w:rPr>
          <w:rFonts w:ascii="Garamond" w:hAnsi="Garamond"/>
        </w:rPr>
        <w:t>.</w:t>
      </w:r>
    </w:p>
  </w:footnote>
  <w:footnote w:id="21">
    <w:p w14:paraId="17E87D57" w14:textId="0F093B94" w:rsidR="00F460B3" w:rsidRPr="005602A7" w:rsidRDefault="00F460B3"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The SS ‘Wimbledon’, United Kingdom and Ors v Germany, Judgment, (1923) PCIJ Series A, No 1, at </w:t>
      </w:r>
      <w:r w:rsidRPr="005602A7">
        <w:rPr>
          <w:rFonts w:ascii="Garamond" w:hAnsi="Garamond"/>
          <w:lang w:val="en-US"/>
        </w:rPr>
        <w:t xml:space="preserve">25. </w:t>
      </w:r>
    </w:p>
  </w:footnote>
  <w:footnote w:id="22">
    <w:p w14:paraId="40EB4034" w14:textId="77777777" w:rsidR="0004641D" w:rsidRPr="005602A7" w:rsidRDefault="0004641D"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Nationality Decrees Issued in Tunis and Morocco (French Zone) (Great Britain v France) Advisory Opinion, (1923) PCIJ Series B, No. 4, </w:t>
      </w:r>
      <w:r w:rsidRPr="005602A7">
        <w:rPr>
          <w:rFonts w:ascii="Garamond" w:hAnsi="Garamond"/>
          <w:lang w:val="en-US"/>
        </w:rPr>
        <w:t>at 24. The PCIJ held: “</w:t>
      </w:r>
      <w:r w:rsidRPr="005602A7">
        <w:rPr>
          <w:rFonts w:ascii="Garamond" w:hAnsi="Garamond"/>
          <w:i/>
          <w:iCs/>
        </w:rPr>
        <w:t>For the purpose of the present opinion, it is enough to observe that it may well happen that, in a matter which, like that of nationality, is not, in principle, regulated by international law, the right of a State to use its discretion is nevertheless restricted by obligations which it may have undertaken towards other States. In such a case, jurisdiction which, in principle, belongs solely to the State, is limited by rules of international law</w:t>
      </w:r>
      <w:r w:rsidRPr="005602A7">
        <w:rPr>
          <w:rFonts w:ascii="Garamond" w:hAnsi="Garamond"/>
        </w:rPr>
        <w:t>.</w:t>
      </w:r>
      <w:r w:rsidRPr="005602A7">
        <w:rPr>
          <w:rFonts w:ascii="Garamond" w:hAnsi="Garamond"/>
          <w:lang w:val="en-US"/>
        </w:rPr>
        <w:t>”</w:t>
      </w:r>
    </w:p>
  </w:footnote>
  <w:footnote w:id="23">
    <w:p w14:paraId="2E6EC677" w14:textId="4A672AB4" w:rsidR="00CC076F" w:rsidRPr="005602A7" w:rsidRDefault="00CC076F"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bookmarkStart w:id="6" w:name="_Hlk172805227"/>
      <w:r w:rsidR="003268E4" w:rsidRPr="005602A7">
        <w:rPr>
          <w:rFonts w:ascii="Garamond" w:hAnsi="Garamond"/>
        </w:rPr>
        <w:t>S.S. Lotus (Fr. v. Turk.), 1927 P</w:t>
      </w:r>
      <w:r w:rsidR="00E65D46" w:rsidRPr="005602A7">
        <w:rPr>
          <w:rFonts w:ascii="Garamond" w:hAnsi="Garamond"/>
        </w:rPr>
        <w:t>CIJ</w:t>
      </w:r>
      <w:r w:rsidR="003268E4" w:rsidRPr="005602A7">
        <w:rPr>
          <w:rFonts w:ascii="Garamond" w:hAnsi="Garamond"/>
        </w:rPr>
        <w:t xml:space="preserve"> </w:t>
      </w:r>
      <w:r w:rsidR="00E65D46" w:rsidRPr="005602A7">
        <w:rPr>
          <w:rFonts w:ascii="Garamond" w:hAnsi="Garamond"/>
        </w:rPr>
        <w:t xml:space="preserve">Series </w:t>
      </w:r>
      <w:r w:rsidR="003268E4" w:rsidRPr="005602A7">
        <w:rPr>
          <w:rFonts w:ascii="Garamond" w:hAnsi="Garamond"/>
        </w:rPr>
        <w:t>A</w:t>
      </w:r>
      <w:r w:rsidR="001E2162" w:rsidRPr="005602A7">
        <w:rPr>
          <w:rFonts w:ascii="Garamond" w:hAnsi="Garamond"/>
        </w:rPr>
        <w:t>,</w:t>
      </w:r>
      <w:r w:rsidR="003268E4" w:rsidRPr="005602A7">
        <w:rPr>
          <w:rFonts w:ascii="Garamond" w:hAnsi="Garamond"/>
        </w:rPr>
        <w:t xml:space="preserve"> No. 10 (Sept. 7) </w:t>
      </w:r>
      <w:bookmarkEnd w:id="6"/>
      <w:r w:rsidR="003268E4" w:rsidRPr="005602A7">
        <w:rPr>
          <w:rFonts w:ascii="Garamond" w:hAnsi="Garamond"/>
        </w:rPr>
        <w:t>at</w:t>
      </w:r>
      <w:r w:rsidRPr="005602A7">
        <w:rPr>
          <w:rFonts w:ascii="Garamond" w:hAnsi="Garamond"/>
        </w:rPr>
        <w:t xml:space="preserve"> 18. </w:t>
      </w:r>
    </w:p>
  </w:footnote>
  <w:footnote w:id="24">
    <w:p w14:paraId="7DDB3312" w14:textId="2C6BE495" w:rsidR="00323C59" w:rsidRPr="005602A7" w:rsidRDefault="00323C59"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3268E4" w:rsidRPr="005602A7">
        <w:rPr>
          <w:rFonts w:ascii="Garamond" w:hAnsi="Garamond"/>
          <w:shd w:val="clear" w:color="auto" w:fill="FFFFFF"/>
        </w:rPr>
        <w:t xml:space="preserve">Bardo Fassbender, </w:t>
      </w:r>
      <w:r w:rsidR="003268E4" w:rsidRPr="005602A7">
        <w:rPr>
          <w:rFonts w:ascii="Garamond" w:hAnsi="Garamond"/>
          <w:i/>
          <w:iCs/>
          <w:shd w:val="clear" w:color="auto" w:fill="FFFFFF"/>
        </w:rPr>
        <w:t>Sovereignty and Constitutionalism in International Law</w:t>
      </w:r>
      <w:r w:rsidR="00920C55" w:rsidRPr="005602A7">
        <w:rPr>
          <w:rFonts w:ascii="Garamond" w:hAnsi="Garamond"/>
          <w:i/>
          <w:iCs/>
          <w:shd w:val="clear" w:color="auto" w:fill="FFFFFF"/>
        </w:rPr>
        <w:t>,</w:t>
      </w:r>
      <w:r w:rsidR="003268E4" w:rsidRPr="005602A7">
        <w:rPr>
          <w:rFonts w:ascii="Garamond" w:hAnsi="Garamond"/>
          <w:shd w:val="clear" w:color="auto" w:fill="FFFFFF"/>
        </w:rPr>
        <w:t xml:space="preserve"> </w:t>
      </w:r>
      <w:r w:rsidR="003268E4" w:rsidRPr="005602A7">
        <w:rPr>
          <w:rFonts w:ascii="Garamond" w:hAnsi="Garamond"/>
          <w:i/>
          <w:iCs/>
          <w:shd w:val="clear" w:color="auto" w:fill="FFFFFF"/>
        </w:rPr>
        <w:t>in</w:t>
      </w:r>
      <w:r w:rsidR="00920C55" w:rsidRPr="005602A7">
        <w:rPr>
          <w:rFonts w:ascii="Garamond" w:hAnsi="Garamond"/>
          <w:i/>
          <w:iCs/>
          <w:shd w:val="clear" w:color="auto" w:fill="FFFFFF"/>
        </w:rPr>
        <w:t xml:space="preserve"> </w:t>
      </w:r>
      <w:r w:rsidR="003268E4" w:rsidRPr="005602A7">
        <w:rPr>
          <w:rFonts w:ascii="Garamond" w:hAnsi="Garamond"/>
          <w:smallCaps/>
          <w:shd w:val="clear" w:color="auto" w:fill="FFFFFF"/>
        </w:rPr>
        <w:t>Sovereignty</w:t>
      </w:r>
      <w:r w:rsidR="00920C55" w:rsidRPr="005602A7">
        <w:rPr>
          <w:rFonts w:ascii="Garamond" w:hAnsi="Garamond"/>
          <w:smallCaps/>
          <w:shd w:val="clear" w:color="auto" w:fill="FFFFFF"/>
        </w:rPr>
        <w:t xml:space="preserve"> </w:t>
      </w:r>
      <w:r w:rsidR="003268E4" w:rsidRPr="005602A7">
        <w:rPr>
          <w:rFonts w:ascii="Garamond" w:hAnsi="Garamond"/>
          <w:smallCaps/>
          <w:shd w:val="clear" w:color="auto" w:fill="FFFFFF"/>
        </w:rPr>
        <w:t>in Transition</w:t>
      </w:r>
      <w:r w:rsidR="003268E4" w:rsidRPr="005602A7">
        <w:rPr>
          <w:rFonts w:ascii="Garamond" w:hAnsi="Garamond"/>
          <w:shd w:val="clear" w:color="auto" w:fill="FFFFFF"/>
        </w:rPr>
        <w:t xml:space="preserve"> (</w:t>
      </w:r>
      <w:r w:rsidR="00920C55" w:rsidRPr="005602A7">
        <w:rPr>
          <w:rFonts w:ascii="Garamond" w:hAnsi="Garamond"/>
          <w:shd w:val="clear" w:color="auto" w:fill="FFFFFF"/>
        </w:rPr>
        <w:t xml:space="preserve">(Neil Walker, </w:t>
      </w:r>
      <w:r w:rsidR="00920C55" w:rsidRPr="005602A7">
        <w:rPr>
          <w:rFonts w:ascii="Garamond" w:hAnsi="Garamond" w:cs="Arial"/>
          <w:shd w:val="clear" w:color="auto" w:fill="FFFFFF"/>
        </w:rPr>
        <w:t xml:space="preserve">ed., </w:t>
      </w:r>
      <w:r w:rsidR="003268E4" w:rsidRPr="005602A7">
        <w:rPr>
          <w:rFonts w:ascii="Garamond" w:hAnsi="Garamond"/>
          <w:shd w:val="clear" w:color="auto" w:fill="FFFFFF"/>
        </w:rPr>
        <w:t>2003) 115, 117.</w:t>
      </w:r>
    </w:p>
  </w:footnote>
  <w:footnote w:id="25">
    <w:p w14:paraId="5D433D90" w14:textId="7563F214" w:rsidR="00323C59" w:rsidRPr="005602A7" w:rsidRDefault="00323C59"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CA6D01" w:rsidRPr="005602A7">
        <w:rPr>
          <w:rFonts w:ascii="Garamond" w:hAnsi="Garamond"/>
        </w:rPr>
        <w:t xml:space="preserve">An </w:t>
      </w:r>
      <w:proofErr w:type="spellStart"/>
      <w:r w:rsidR="00CA6D01" w:rsidRPr="005602A7">
        <w:rPr>
          <w:rFonts w:ascii="Garamond" w:hAnsi="Garamond"/>
        </w:rPr>
        <w:t>Hertogen</w:t>
      </w:r>
      <w:proofErr w:type="spellEnd"/>
      <w:r w:rsidR="00CA6D01" w:rsidRPr="005602A7">
        <w:rPr>
          <w:rFonts w:ascii="Garamond" w:hAnsi="Garamond"/>
        </w:rPr>
        <w:t xml:space="preserve">, </w:t>
      </w:r>
      <w:r w:rsidR="00CA6D01" w:rsidRPr="005602A7">
        <w:rPr>
          <w:rFonts w:ascii="Garamond" w:hAnsi="Garamond"/>
          <w:i/>
          <w:iCs/>
        </w:rPr>
        <w:t>Letting Lotus Bloom</w:t>
      </w:r>
      <w:r w:rsidR="00CA6D01" w:rsidRPr="005602A7">
        <w:rPr>
          <w:rFonts w:ascii="Garamond" w:hAnsi="Garamond"/>
        </w:rPr>
        <w:t xml:space="preserve">, </w:t>
      </w:r>
      <w:r w:rsidR="00920C55" w:rsidRPr="005602A7">
        <w:rPr>
          <w:rFonts w:ascii="Garamond" w:hAnsi="Garamond"/>
        </w:rPr>
        <w:t xml:space="preserve">26(4) </w:t>
      </w:r>
      <w:r w:rsidR="00CA6D01" w:rsidRPr="005602A7">
        <w:rPr>
          <w:rFonts w:ascii="Garamond" w:hAnsi="Garamond"/>
        </w:rPr>
        <w:t>EJIL 901</w:t>
      </w:r>
      <w:r w:rsidR="002453C2" w:rsidRPr="005602A7">
        <w:rPr>
          <w:rFonts w:ascii="Garamond" w:hAnsi="Garamond"/>
        </w:rPr>
        <w:t>, 908</w:t>
      </w:r>
      <w:r w:rsidR="00E52761" w:rsidRPr="005602A7">
        <w:rPr>
          <w:rFonts w:ascii="Garamond" w:hAnsi="Garamond"/>
        </w:rPr>
        <w:t xml:space="preserve"> </w:t>
      </w:r>
      <w:r w:rsidR="00920C55" w:rsidRPr="005602A7">
        <w:rPr>
          <w:rFonts w:ascii="Garamond" w:hAnsi="Garamond"/>
        </w:rPr>
        <w:t>(2015)</w:t>
      </w:r>
      <w:r w:rsidR="00CA6D01" w:rsidRPr="005602A7">
        <w:rPr>
          <w:rFonts w:ascii="Garamond" w:hAnsi="Garamond"/>
        </w:rPr>
        <w:t xml:space="preserve">. </w:t>
      </w:r>
    </w:p>
  </w:footnote>
  <w:footnote w:id="26">
    <w:p w14:paraId="4581186F" w14:textId="6DAF6916" w:rsidR="00B21386" w:rsidRPr="005602A7" w:rsidRDefault="00B21386"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9E589A" w:rsidRPr="005602A7">
        <w:rPr>
          <w:rFonts w:ascii="Garamond" w:hAnsi="Garamond"/>
        </w:rPr>
        <w:t>Hertogen</w:t>
      </w:r>
      <w:proofErr w:type="spellEnd"/>
      <w:r w:rsidR="009E589A" w:rsidRPr="005602A7">
        <w:rPr>
          <w:rFonts w:ascii="Garamond" w:hAnsi="Garamond"/>
        </w:rPr>
        <w:t xml:space="preserve">, </w:t>
      </w:r>
      <w:r w:rsidR="00570DC2" w:rsidRPr="005602A7">
        <w:rPr>
          <w:rFonts w:ascii="Garamond" w:hAnsi="Garamond"/>
          <w:i/>
          <w:iCs/>
        </w:rPr>
        <w:t xml:space="preserve">Letting Lotus Bloom, </w:t>
      </w:r>
      <w:r w:rsidR="00F07709" w:rsidRPr="005602A7">
        <w:rPr>
          <w:rFonts w:ascii="Garamond" w:hAnsi="Garamond"/>
          <w:i/>
          <w:iCs/>
        </w:rPr>
        <w:t xml:space="preserve">supra </w:t>
      </w:r>
      <w:r w:rsidR="00F07709" w:rsidRPr="005602A7">
        <w:rPr>
          <w:rFonts w:ascii="Garamond" w:hAnsi="Garamond"/>
        </w:rPr>
        <w:t xml:space="preserve">note 24 at </w:t>
      </w:r>
      <w:r w:rsidR="009E589A" w:rsidRPr="005602A7">
        <w:rPr>
          <w:rFonts w:ascii="Garamond" w:hAnsi="Garamond"/>
        </w:rPr>
        <w:t>908</w:t>
      </w:r>
      <w:r w:rsidR="00F07709" w:rsidRPr="005602A7">
        <w:rPr>
          <w:rFonts w:ascii="Garamond" w:hAnsi="Garamond"/>
        </w:rPr>
        <w:t xml:space="preserve">. </w:t>
      </w:r>
    </w:p>
  </w:footnote>
  <w:footnote w:id="27">
    <w:p w14:paraId="7818E884" w14:textId="7A72C9C6" w:rsidR="00682F7F" w:rsidRPr="005602A7" w:rsidRDefault="00682F7F"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E52761" w:rsidRPr="005602A7">
        <w:rPr>
          <w:rFonts w:ascii="Garamond" w:hAnsi="Garamond"/>
        </w:rPr>
        <w:t xml:space="preserve">Dissenting Opinion Judge </w:t>
      </w:r>
      <w:proofErr w:type="spellStart"/>
      <w:r w:rsidR="00E52761" w:rsidRPr="005602A7">
        <w:rPr>
          <w:rFonts w:ascii="Garamond" w:hAnsi="Garamond"/>
        </w:rPr>
        <w:t>Shah</w:t>
      </w:r>
      <w:r w:rsidR="00A2582E" w:rsidRPr="005602A7">
        <w:rPr>
          <w:rFonts w:ascii="Garamond" w:hAnsi="Garamond"/>
        </w:rPr>
        <w:t>a</w:t>
      </w:r>
      <w:r w:rsidR="00E52761" w:rsidRPr="005602A7">
        <w:rPr>
          <w:rFonts w:ascii="Garamond" w:hAnsi="Garamond"/>
        </w:rPr>
        <w:t>buddeen</w:t>
      </w:r>
      <w:proofErr w:type="spellEnd"/>
      <w:r w:rsidR="00E52761" w:rsidRPr="005602A7">
        <w:rPr>
          <w:rFonts w:ascii="Garamond" w:hAnsi="Garamond"/>
        </w:rPr>
        <w:t>, Legality of the Threat or Use of Nuclear Weapons, Advisory Opinion, [1996] ICJ Rep 226, </w:t>
      </w:r>
      <w:r w:rsidRPr="005602A7">
        <w:rPr>
          <w:rFonts w:ascii="Garamond" w:hAnsi="Garamond"/>
        </w:rPr>
        <w:t>at 393–394</w:t>
      </w:r>
      <w:r w:rsidR="00E52761" w:rsidRPr="005602A7">
        <w:rPr>
          <w:rFonts w:ascii="Garamond" w:hAnsi="Garamond"/>
        </w:rPr>
        <w:t xml:space="preserve">. </w:t>
      </w:r>
    </w:p>
  </w:footnote>
  <w:footnote w:id="28">
    <w:p w14:paraId="189CFD7C" w14:textId="36E4E755" w:rsidR="0058366F" w:rsidRPr="005602A7" w:rsidRDefault="0058366F"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3C1B7E" w:rsidRPr="005602A7">
        <w:rPr>
          <w:rFonts w:ascii="Garamond" w:hAnsi="Garamond"/>
        </w:rPr>
        <w:t xml:space="preserve">Island of Palmas Case (or </w:t>
      </w:r>
      <w:proofErr w:type="spellStart"/>
      <w:r w:rsidR="003C1B7E" w:rsidRPr="005602A7">
        <w:rPr>
          <w:rFonts w:ascii="Garamond" w:hAnsi="Garamond"/>
        </w:rPr>
        <w:t>Miangas</w:t>
      </w:r>
      <w:proofErr w:type="spellEnd"/>
      <w:r w:rsidR="003C1B7E" w:rsidRPr="005602A7">
        <w:rPr>
          <w:rFonts w:ascii="Garamond" w:hAnsi="Garamond"/>
        </w:rPr>
        <w:t>), United States v Netherlands, Award, (1928) II RIAA 829, (PCA</w:t>
      </w:r>
      <w:r w:rsidR="005C4011" w:rsidRPr="005602A7">
        <w:rPr>
          <w:rFonts w:ascii="Garamond" w:hAnsi="Garamond"/>
        </w:rPr>
        <w:t xml:space="preserve">) </w:t>
      </w:r>
      <w:r w:rsidR="003C1B7E" w:rsidRPr="005602A7">
        <w:rPr>
          <w:rFonts w:ascii="Garamond" w:hAnsi="Garamond"/>
        </w:rPr>
        <w:t>at</w:t>
      </w:r>
      <w:r w:rsidRPr="005602A7">
        <w:rPr>
          <w:rFonts w:ascii="Garamond" w:hAnsi="Garamond"/>
        </w:rPr>
        <w:t xml:space="preserve"> p. 838</w:t>
      </w:r>
      <w:r w:rsidR="003C1B7E" w:rsidRPr="005602A7">
        <w:rPr>
          <w:rFonts w:ascii="Garamond" w:hAnsi="Garamond"/>
        </w:rPr>
        <w:t xml:space="preserve">. </w:t>
      </w:r>
    </w:p>
  </w:footnote>
  <w:footnote w:id="29">
    <w:p w14:paraId="3D111F0F" w14:textId="2AB73800" w:rsidR="009E15AA" w:rsidRPr="005602A7" w:rsidRDefault="009E15AA"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F07709" w:rsidRPr="005602A7">
        <w:rPr>
          <w:rFonts w:ascii="Garamond" w:hAnsi="Garamond"/>
          <w:i/>
          <w:iCs/>
        </w:rPr>
        <w:t>Id</w:t>
      </w:r>
      <w:r w:rsidR="00F07709" w:rsidRPr="005602A7">
        <w:rPr>
          <w:rFonts w:ascii="Garamond" w:hAnsi="Garamond"/>
        </w:rPr>
        <w:t xml:space="preserve"> at p. </w:t>
      </w:r>
      <w:r w:rsidR="004279F0" w:rsidRPr="005602A7">
        <w:rPr>
          <w:rFonts w:ascii="Garamond" w:hAnsi="Garamond"/>
        </w:rPr>
        <w:t>838</w:t>
      </w:r>
      <w:r w:rsidR="006A42CC" w:rsidRPr="005602A7">
        <w:rPr>
          <w:rFonts w:ascii="Garamond" w:hAnsi="Garamond"/>
        </w:rPr>
        <w:t>.</w:t>
      </w:r>
    </w:p>
  </w:footnote>
  <w:footnote w:id="30">
    <w:p w14:paraId="1E99C6B8" w14:textId="51A13A5A" w:rsidR="005818D6" w:rsidRPr="005602A7" w:rsidRDefault="005818D6"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3C1B7E" w:rsidRPr="005602A7">
        <w:rPr>
          <w:rFonts w:ascii="Garamond" w:hAnsi="Garamond"/>
        </w:rPr>
        <w:t>Austro-German Customs Union Case P.C.I.J., Series A/B, No. 41 (1931). Individual Opinion of Judge Anzilotti,</w:t>
      </w:r>
      <w:r w:rsidRPr="005602A7">
        <w:rPr>
          <w:rFonts w:ascii="Garamond" w:hAnsi="Garamond"/>
        </w:rPr>
        <w:t xml:space="preserve"> 57</w:t>
      </w:r>
      <w:r w:rsidR="0092720B" w:rsidRPr="005602A7">
        <w:rPr>
          <w:rFonts w:ascii="Garamond" w:hAnsi="Garamond"/>
        </w:rPr>
        <w:t>.</w:t>
      </w:r>
      <w:r w:rsidRPr="005602A7">
        <w:rPr>
          <w:rFonts w:ascii="Garamond" w:hAnsi="Garamond"/>
        </w:rPr>
        <w:t xml:space="preserve"> </w:t>
      </w:r>
    </w:p>
  </w:footnote>
  <w:footnote w:id="31">
    <w:p w14:paraId="1AD445E9" w14:textId="6CA4339C" w:rsidR="007869D0" w:rsidRPr="005602A7" w:rsidRDefault="007869D0"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F07709" w:rsidRPr="005602A7">
        <w:rPr>
          <w:rFonts w:ascii="Garamond" w:hAnsi="Garamond"/>
          <w:i/>
          <w:iCs/>
        </w:rPr>
        <w:t>Id</w:t>
      </w:r>
      <w:r w:rsidR="00F07709" w:rsidRPr="005602A7">
        <w:rPr>
          <w:rFonts w:ascii="Garamond" w:hAnsi="Garamond"/>
        </w:rPr>
        <w:t xml:space="preserve"> at</w:t>
      </w:r>
      <w:r w:rsidR="003C1B7E" w:rsidRPr="005602A7">
        <w:rPr>
          <w:rFonts w:ascii="Garamond" w:hAnsi="Garamond"/>
        </w:rPr>
        <w:t xml:space="preserve"> </w:t>
      </w:r>
      <w:r w:rsidRPr="005602A7">
        <w:rPr>
          <w:rFonts w:ascii="Garamond" w:hAnsi="Garamond"/>
        </w:rPr>
        <w:t>58</w:t>
      </w:r>
      <w:r w:rsidR="005C5BAC" w:rsidRPr="005602A7">
        <w:rPr>
          <w:rFonts w:ascii="Garamond" w:hAnsi="Garamond"/>
        </w:rPr>
        <w:t>.</w:t>
      </w:r>
      <w:r w:rsidRPr="005602A7">
        <w:rPr>
          <w:rFonts w:ascii="Garamond" w:hAnsi="Garamond"/>
        </w:rPr>
        <w:t xml:space="preserve"> </w:t>
      </w:r>
    </w:p>
  </w:footnote>
  <w:footnote w:id="32">
    <w:p w14:paraId="5C8AB2DE" w14:textId="39E56206" w:rsidR="007869D0" w:rsidRPr="005602A7" w:rsidRDefault="007869D0"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F07709" w:rsidRPr="005602A7">
        <w:rPr>
          <w:rFonts w:ascii="Garamond" w:hAnsi="Garamond"/>
          <w:i/>
          <w:iCs/>
        </w:rPr>
        <w:t xml:space="preserve">Id </w:t>
      </w:r>
      <w:r w:rsidR="00F07709" w:rsidRPr="005602A7">
        <w:rPr>
          <w:rFonts w:ascii="Garamond" w:hAnsi="Garamond"/>
        </w:rPr>
        <w:t xml:space="preserve">at </w:t>
      </w:r>
      <w:r w:rsidRPr="005602A7">
        <w:rPr>
          <w:rFonts w:ascii="Garamond" w:hAnsi="Garamond"/>
        </w:rPr>
        <w:t xml:space="preserve">57. </w:t>
      </w:r>
    </w:p>
  </w:footnote>
  <w:footnote w:id="33">
    <w:p w14:paraId="27303D1A" w14:textId="188AE3B6" w:rsidR="00C442BE" w:rsidRPr="005602A7" w:rsidRDefault="00C442B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Military and Paramilitary Activities in and against Nicaragua, Nicaragua v United States, Judgment on Jurisdiction and Admissibility [1984] ICJ Rep 392, at para </w:t>
      </w:r>
      <w:r w:rsidRPr="005602A7">
        <w:rPr>
          <w:rFonts w:ascii="Garamond" w:hAnsi="Garamond"/>
          <w:lang w:val="en-US"/>
        </w:rPr>
        <w:t>259.</w:t>
      </w:r>
    </w:p>
  </w:footnote>
  <w:footnote w:id="34">
    <w:p w14:paraId="2297035E" w14:textId="4664F2C6" w:rsidR="006F50B7" w:rsidRPr="005602A7" w:rsidRDefault="006F50B7"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F07709" w:rsidRPr="005602A7">
        <w:rPr>
          <w:rFonts w:ascii="Garamond" w:hAnsi="Garamond"/>
          <w:lang w:val="en-US"/>
        </w:rPr>
        <w:t>W</w:t>
      </w:r>
      <w:r w:rsidR="00882FAF" w:rsidRPr="005602A7">
        <w:rPr>
          <w:rFonts w:ascii="Garamond" w:hAnsi="Garamond"/>
          <w:lang w:val="en-US"/>
        </w:rPr>
        <w:t xml:space="preserve">all and Mathews distinguish </w:t>
      </w:r>
      <w:proofErr w:type="spellStart"/>
      <w:r w:rsidR="00882FAF" w:rsidRPr="005602A7">
        <w:rPr>
          <w:rFonts w:ascii="Garamond" w:hAnsi="Garamond"/>
          <w:lang w:val="en-US"/>
        </w:rPr>
        <w:t>potestas</w:t>
      </w:r>
      <w:proofErr w:type="spellEnd"/>
      <w:r w:rsidR="00882FAF" w:rsidRPr="005602A7">
        <w:rPr>
          <w:rFonts w:ascii="Garamond" w:hAnsi="Garamond"/>
          <w:lang w:val="en-US"/>
        </w:rPr>
        <w:t xml:space="preserve"> or the power of rightful authority from </w:t>
      </w:r>
      <w:proofErr w:type="spellStart"/>
      <w:r w:rsidR="00882FAF" w:rsidRPr="005602A7">
        <w:rPr>
          <w:rFonts w:ascii="Garamond" w:hAnsi="Garamond"/>
          <w:lang w:val="en-US"/>
        </w:rPr>
        <w:t>potentia</w:t>
      </w:r>
      <w:proofErr w:type="spellEnd"/>
      <w:r w:rsidR="00882FAF" w:rsidRPr="005602A7">
        <w:rPr>
          <w:rFonts w:ascii="Garamond" w:hAnsi="Garamond"/>
          <w:lang w:val="en-US"/>
        </w:rPr>
        <w:t xml:space="preserve"> i.e., </w:t>
      </w:r>
      <w:r w:rsidR="0005506E" w:rsidRPr="005602A7">
        <w:rPr>
          <w:rFonts w:ascii="Garamond" w:hAnsi="Garamond"/>
          <w:lang w:val="en-US"/>
        </w:rPr>
        <w:t>unlimited competence</w:t>
      </w:r>
      <w:r w:rsidR="005F1CC1" w:rsidRPr="005602A7">
        <w:rPr>
          <w:rFonts w:ascii="Garamond" w:hAnsi="Garamond"/>
          <w:lang w:val="en-US"/>
        </w:rPr>
        <w:t>. See,</w:t>
      </w:r>
      <w:r w:rsidR="007F1679" w:rsidRPr="005602A7">
        <w:rPr>
          <w:rFonts w:ascii="Garamond" w:hAnsi="Garamond"/>
          <w:lang w:val="en-US"/>
        </w:rPr>
        <w:t xml:space="preserve"> </w:t>
      </w:r>
      <w:r w:rsidR="009104EB" w:rsidRPr="005602A7">
        <w:rPr>
          <w:rFonts w:ascii="Garamond" w:hAnsi="Garamond"/>
          <w:lang w:val="en-US"/>
        </w:rPr>
        <w:t xml:space="preserve">Illan Wall and Daniel Matthews, </w:t>
      </w:r>
      <w:r w:rsidR="009104EB" w:rsidRPr="005602A7">
        <w:rPr>
          <w:rFonts w:ascii="Garamond" w:hAnsi="Garamond"/>
          <w:i/>
          <w:iCs/>
          <w:lang w:val="en-US"/>
        </w:rPr>
        <w:t>Sovereignty and the Persistence of the Aesthetic</w:t>
      </w:r>
      <w:r w:rsidR="009104EB" w:rsidRPr="005602A7">
        <w:rPr>
          <w:rFonts w:ascii="Garamond" w:hAnsi="Garamond"/>
          <w:lang w:val="en-US"/>
        </w:rPr>
        <w:t xml:space="preserve">, </w:t>
      </w:r>
      <w:r w:rsidR="009104EB" w:rsidRPr="005602A7">
        <w:rPr>
          <w:rFonts w:ascii="Garamond" w:hAnsi="Garamond"/>
          <w:smallCaps/>
          <w:lang w:val="en-US"/>
        </w:rPr>
        <w:t>The Modern Law Review</w:t>
      </w:r>
      <w:r w:rsidR="009104EB" w:rsidRPr="005602A7">
        <w:rPr>
          <w:rFonts w:ascii="Garamond" w:hAnsi="Garamond"/>
          <w:lang w:val="en-US"/>
        </w:rPr>
        <w:t xml:space="preserve">, </w:t>
      </w:r>
      <w:r w:rsidR="00F96E4B" w:rsidRPr="005602A7">
        <w:rPr>
          <w:rFonts w:ascii="Garamond" w:hAnsi="Garamond"/>
          <w:lang w:val="en-US"/>
        </w:rPr>
        <w:t>(</w:t>
      </w:r>
      <w:r w:rsidR="009104EB" w:rsidRPr="005602A7">
        <w:rPr>
          <w:rFonts w:ascii="Garamond" w:hAnsi="Garamond"/>
          <w:lang w:val="en-US"/>
        </w:rPr>
        <w:t>March</w:t>
      </w:r>
      <w:r w:rsidR="00F96E4B" w:rsidRPr="005602A7">
        <w:rPr>
          <w:rFonts w:ascii="Garamond" w:hAnsi="Garamond"/>
          <w:lang w:val="en-US"/>
        </w:rPr>
        <w:t xml:space="preserve"> 20,</w:t>
      </w:r>
      <w:r w:rsidR="009104EB" w:rsidRPr="005602A7">
        <w:rPr>
          <w:rFonts w:ascii="Garamond" w:hAnsi="Garamond"/>
          <w:lang w:val="en-US"/>
        </w:rPr>
        <w:t xml:space="preserve"> 2024</w:t>
      </w:r>
      <w:r w:rsidR="00F96E4B" w:rsidRPr="005602A7">
        <w:rPr>
          <w:rFonts w:ascii="Garamond" w:hAnsi="Garamond"/>
          <w:lang w:val="en-US"/>
        </w:rPr>
        <w:t>)</w:t>
      </w:r>
      <w:r w:rsidR="009104EB" w:rsidRPr="005602A7">
        <w:rPr>
          <w:rFonts w:ascii="Garamond" w:hAnsi="Garamond"/>
          <w:lang w:val="en-US"/>
        </w:rPr>
        <w:t xml:space="preserve"> https://onlinelibrary.wiley.com/doi/full/10.1111/1468-2230.12880.</w:t>
      </w:r>
    </w:p>
  </w:footnote>
  <w:footnote w:id="35">
    <w:p w14:paraId="56F99F51" w14:textId="5FEE627B" w:rsidR="00E00BE2" w:rsidRPr="005602A7" w:rsidRDefault="00E00BE2"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3621F6" w:rsidRPr="005602A7">
        <w:rPr>
          <w:rFonts w:ascii="Garamond" w:hAnsi="Garamond"/>
        </w:rPr>
        <w:t xml:space="preserve">Martin </w:t>
      </w:r>
      <w:r w:rsidRPr="005602A7">
        <w:rPr>
          <w:rFonts w:ascii="Garamond" w:hAnsi="Garamond"/>
        </w:rPr>
        <w:t>Loug</w:t>
      </w:r>
      <w:r w:rsidR="00F07709" w:rsidRPr="005602A7">
        <w:rPr>
          <w:rFonts w:ascii="Garamond" w:hAnsi="Garamond"/>
        </w:rPr>
        <w:t>h</w:t>
      </w:r>
      <w:r w:rsidRPr="005602A7">
        <w:rPr>
          <w:rFonts w:ascii="Garamond" w:hAnsi="Garamond"/>
        </w:rPr>
        <w:t xml:space="preserve">lin, </w:t>
      </w:r>
      <w:r w:rsidR="007A5E35" w:rsidRPr="005602A7">
        <w:rPr>
          <w:rFonts w:ascii="Garamond" w:hAnsi="Garamond"/>
          <w:i/>
          <w:iCs/>
        </w:rPr>
        <w:t>T</w:t>
      </w:r>
      <w:r w:rsidR="003621F6" w:rsidRPr="005602A7">
        <w:rPr>
          <w:rFonts w:ascii="Garamond" w:hAnsi="Garamond"/>
          <w:i/>
          <w:iCs/>
        </w:rPr>
        <w:t xml:space="preserve">he </w:t>
      </w:r>
      <w:r w:rsidR="007A5E35" w:rsidRPr="005602A7">
        <w:rPr>
          <w:rFonts w:ascii="Garamond" w:hAnsi="Garamond"/>
          <w:i/>
          <w:iCs/>
        </w:rPr>
        <w:t>E</w:t>
      </w:r>
      <w:r w:rsidRPr="005602A7">
        <w:rPr>
          <w:rFonts w:ascii="Garamond" w:hAnsi="Garamond"/>
          <w:i/>
          <w:iCs/>
        </w:rPr>
        <w:t xml:space="preserve">rosion of </w:t>
      </w:r>
      <w:r w:rsidR="007A5E35" w:rsidRPr="005602A7">
        <w:rPr>
          <w:rFonts w:ascii="Garamond" w:hAnsi="Garamond"/>
          <w:i/>
          <w:iCs/>
        </w:rPr>
        <w:t>S</w:t>
      </w:r>
      <w:r w:rsidRPr="005602A7">
        <w:rPr>
          <w:rFonts w:ascii="Garamond" w:hAnsi="Garamond"/>
          <w:i/>
          <w:iCs/>
        </w:rPr>
        <w:t>overeignty</w:t>
      </w:r>
      <w:r w:rsidRPr="005602A7">
        <w:rPr>
          <w:rFonts w:ascii="Garamond" w:hAnsi="Garamond"/>
        </w:rPr>
        <w:t xml:space="preserve">, </w:t>
      </w:r>
      <w:r w:rsidR="00672DB6" w:rsidRPr="005602A7">
        <w:rPr>
          <w:rFonts w:ascii="Garamond" w:hAnsi="Garamond"/>
        </w:rPr>
        <w:t xml:space="preserve">45(2) </w:t>
      </w:r>
      <w:r w:rsidR="003621F6" w:rsidRPr="005602A7">
        <w:rPr>
          <w:rFonts w:ascii="Garamond" w:hAnsi="Garamond"/>
          <w:smallCaps/>
        </w:rPr>
        <w:t>Netherlands Journal of Legal Philosophy</w:t>
      </w:r>
      <w:r w:rsidR="003621F6" w:rsidRPr="005602A7">
        <w:rPr>
          <w:rFonts w:ascii="Garamond" w:hAnsi="Garamond"/>
        </w:rPr>
        <w:t>,</w:t>
      </w:r>
      <w:r w:rsidR="00672DB6" w:rsidRPr="005602A7">
        <w:rPr>
          <w:rFonts w:ascii="Garamond" w:hAnsi="Garamond"/>
        </w:rPr>
        <w:t xml:space="preserve"> </w:t>
      </w:r>
      <w:r w:rsidRPr="005602A7">
        <w:rPr>
          <w:rFonts w:ascii="Garamond" w:hAnsi="Garamond"/>
        </w:rPr>
        <w:t>60</w:t>
      </w:r>
      <w:r w:rsidR="003621F6" w:rsidRPr="005602A7">
        <w:rPr>
          <w:rFonts w:ascii="Garamond" w:hAnsi="Garamond"/>
        </w:rPr>
        <w:t xml:space="preserve"> </w:t>
      </w:r>
      <w:r w:rsidR="00672DB6" w:rsidRPr="005602A7">
        <w:rPr>
          <w:rFonts w:ascii="Garamond" w:hAnsi="Garamond"/>
        </w:rPr>
        <w:t>(2016)</w:t>
      </w:r>
      <w:r w:rsidR="00A300B8" w:rsidRPr="005602A7">
        <w:rPr>
          <w:rFonts w:ascii="Garamond" w:hAnsi="Garamond"/>
        </w:rPr>
        <w:t>.</w:t>
      </w:r>
    </w:p>
  </w:footnote>
  <w:footnote w:id="36">
    <w:p w14:paraId="08B79481" w14:textId="7B18552E" w:rsidR="003B3A84" w:rsidRPr="005602A7" w:rsidRDefault="003B3A8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F07709" w:rsidRPr="005602A7">
        <w:rPr>
          <w:rFonts w:ascii="Garamond" w:hAnsi="Garamond"/>
          <w:i/>
          <w:iCs/>
        </w:rPr>
        <w:t>Id</w:t>
      </w:r>
      <w:r w:rsidR="00F07709" w:rsidRPr="005602A7">
        <w:rPr>
          <w:rFonts w:ascii="Garamond" w:hAnsi="Garamond"/>
        </w:rPr>
        <w:t xml:space="preserve"> </w:t>
      </w:r>
      <w:r w:rsidR="003621F6" w:rsidRPr="005602A7">
        <w:rPr>
          <w:rFonts w:ascii="Garamond" w:hAnsi="Garamond"/>
        </w:rPr>
        <w:t xml:space="preserve">at </w:t>
      </w:r>
      <w:r w:rsidRPr="005602A7">
        <w:rPr>
          <w:rFonts w:ascii="Garamond" w:hAnsi="Garamond"/>
        </w:rPr>
        <w:t>60</w:t>
      </w:r>
      <w:r w:rsidR="003621F6" w:rsidRPr="005602A7">
        <w:rPr>
          <w:rFonts w:ascii="Garamond" w:hAnsi="Garamond"/>
        </w:rPr>
        <w:t>.</w:t>
      </w:r>
    </w:p>
  </w:footnote>
  <w:footnote w:id="37">
    <w:p w14:paraId="05C8CFA4" w14:textId="580AF250" w:rsidR="003B3A84" w:rsidRPr="005602A7" w:rsidRDefault="003B3A8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F07709" w:rsidRPr="005602A7">
        <w:rPr>
          <w:rFonts w:ascii="Garamond" w:hAnsi="Garamond"/>
          <w:i/>
          <w:iCs/>
        </w:rPr>
        <w:t>Id</w:t>
      </w:r>
      <w:r w:rsidR="00F07709" w:rsidRPr="005602A7">
        <w:rPr>
          <w:rFonts w:ascii="Garamond" w:hAnsi="Garamond"/>
        </w:rPr>
        <w:t xml:space="preserve"> at </w:t>
      </w:r>
      <w:r w:rsidRPr="005602A7">
        <w:rPr>
          <w:rFonts w:ascii="Garamond" w:hAnsi="Garamond"/>
        </w:rPr>
        <w:t xml:space="preserve">60. </w:t>
      </w:r>
    </w:p>
  </w:footnote>
  <w:footnote w:id="38">
    <w:p w14:paraId="03D27197" w14:textId="75EE74FD" w:rsidR="003B3A84" w:rsidRPr="005602A7" w:rsidRDefault="003B3A84"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F07709" w:rsidRPr="005602A7">
        <w:rPr>
          <w:rFonts w:ascii="Garamond" w:hAnsi="Garamond"/>
          <w:i/>
          <w:iCs/>
        </w:rPr>
        <w:t>Id</w:t>
      </w:r>
      <w:r w:rsidR="00F07709" w:rsidRPr="005602A7">
        <w:rPr>
          <w:rFonts w:ascii="Garamond" w:hAnsi="Garamond"/>
        </w:rPr>
        <w:t xml:space="preserve"> at </w:t>
      </w:r>
      <w:r w:rsidRPr="005602A7">
        <w:rPr>
          <w:rFonts w:ascii="Garamond" w:hAnsi="Garamond"/>
          <w:lang w:val="en-US"/>
        </w:rPr>
        <w:t>63</w:t>
      </w:r>
      <w:r w:rsidR="003621F6" w:rsidRPr="005602A7">
        <w:rPr>
          <w:rFonts w:ascii="Garamond" w:hAnsi="Garamond"/>
          <w:lang w:val="en-US"/>
        </w:rPr>
        <w:t>.</w:t>
      </w:r>
      <w:r w:rsidRPr="005602A7">
        <w:rPr>
          <w:rFonts w:ascii="Garamond" w:hAnsi="Garamond"/>
          <w:lang w:val="en-US"/>
        </w:rPr>
        <w:t xml:space="preserve"> </w:t>
      </w:r>
    </w:p>
  </w:footnote>
  <w:footnote w:id="39">
    <w:p w14:paraId="3B5C6B5F" w14:textId="7A464E69" w:rsidR="003B3A84" w:rsidRPr="005602A7" w:rsidRDefault="003B3A8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672DB6" w:rsidRPr="005602A7">
        <w:rPr>
          <w:rFonts w:ascii="Garamond" w:hAnsi="Garamond"/>
        </w:rPr>
        <w:t xml:space="preserve">Razvan Ioan, </w:t>
      </w:r>
      <w:proofErr w:type="spellStart"/>
      <w:r w:rsidR="00672DB6" w:rsidRPr="005602A7">
        <w:rPr>
          <w:rFonts w:ascii="Garamond" w:hAnsi="Garamond"/>
          <w:i/>
          <w:iCs/>
        </w:rPr>
        <w:t>Potentia</w:t>
      </w:r>
      <w:proofErr w:type="spellEnd"/>
      <w:r w:rsidR="00672DB6" w:rsidRPr="005602A7">
        <w:rPr>
          <w:rFonts w:ascii="Garamond" w:hAnsi="Garamond"/>
          <w:i/>
          <w:iCs/>
        </w:rPr>
        <w:t xml:space="preserve">: Hobbes and Spinoza on Power and Popular Politics, </w:t>
      </w:r>
      <w:r w:rsidR="00672DB6" w:rsidRPr="005602A7">
        <w:rPr>
          <w:rFonts w:ascii="Garamond" w:hAnsi="Garamond"/>
        </w:rPr>
        <w:t xml:space="preserve">6(2) </w:t>
      </w:r>
      <w:r w:rsidR="00672DB6" w:rsidRPr="005602A7">
        <w:rPr>
          <w:rFonts w:ascii="Garamond" w:hAnsi="Garamond"/>
          <w:smallCaps/>
        </w:rPr>
        <w:t xml:space="preserve">Global Intellectual History </w:t>
      </w:r>
      <w:r w:rsidR="00672DB6" w:rsidRPr="005602A7">
        <w:rPr>
          <w:rFonts w:ascii="Garamond" w:hAnsi="Garamond"/>
        </w:rPr>
        <w:t>1815 (2021)</w:t>
      </w:r>
      <w:r w:rsidR="00A300B8" w:rsidRPr="005602A7">
        <w:rPr>
          <w:rFonts w:ascii="Garamond" w:hAnsi="Garamond"/>
        </w:rPr>
        <w:t>.</w:t>
      </w:r>
    </w:p>
  </w:footnote>
  <w:footnote w:id="40">
    <w:p w14:paraId="638FFA38" w14:textId="2C21AF2F" w:rsidR="003B3A84" w:rsidRPr="005602A7" w:rsidRDefault="003B3A84" w:rsidP="001340AF">
      <w:pPr>
        <w:pStyle w:val="FootnoteText"/>
        <w:jc w:val="both"/>
        <w:rPr>
          <w:rFonts w:ascii="Garamond" w:hAnsi="Garamond"/>
          <w:lang w:val="en-US"/>
        </w:rPr>
      </w:pPr>
      <w:r w:rsidRPr="005602A7">
        <w:rPr>
          <w:rStyle w:val="FootnoteReference"/>
          <w:rFonts w:ascii="Garamond" w:hAnsi="Garamond"/>
        </w:rPr>
        <w:footnoteRef/>
      </w:r>
      <w:r w:rsidR="00F07709" w:rsidRPr="005602A7">
        <w:rPr>
          <w:rFonts w:ascii="Garamond" w:hAnsi="Garamond"/>
        </w:rPr>
        <w:t xml:space="preserve"> </w:t>
      </w:r>
      <w:r w:rsidR="00C54FAE" w:rsidRPr="005602A7">
        <w:rPr>
          <w:rFonts w:ascii="Garamond" w:hAnsi="Garamond"/>
        </w:rPr>
        <w:t>Loug</w:t>
      </w:r>
      <w:r w:rsidR="00F07709" w:rsidRPr="005602A7">
        <w:rPr>
          <w:rFonts w:ascii="Garamond" w:hAnsi="Garamond"/>
        </w:rPr>
        <w:t>h</w:t>
      </w:r>
      <w:r w:rsidR="00C54FAE" w:rsidRPr="005602A7">
        <w:rPr>
          <w:rFonts w:ascii="Garamond" w:hAnsi="Garamond"/>
        </w:rPr>
        <w:t xml:space="preserve">lin, </w:t>
      </w:r>
      <w:r w:rsidR="007A5E35" w:rsidRPr="005602A7">
        <w:rPr>
          <w:rFonts w:ascii="Garamond" w:hAnsi="Garamond"/>
          <w:i/>
          <w:iCs/>
        </w:rPr>
        <w:t xml:space="preserve">The Erosion of Sovereignty, </w:t>
      </w:r>
      <w:r w:rsidR="00F07709" w:rsidRPr="005602A7">
        <w:rPr>
          <w:rFonts w:ascii="Garamond" w:hAnsi="Garamond"/>
          <w:i/>
          <w:iCs/>
        </w:rPr>
        <w:t xml:space="preserve">supra </w:t>
      </w:r>
      <w:r w:rsidR="00F07709" w:rsidRPr="005602A7">
        <w:rPr>
          <w:rFonts w:ascii="Garamond" w:hAnsi="Garamond"/>
        </w:rPr>
        <w:t xml:space="preserve">note 34 </w:t>
      </w:r>
      <w:r w:rsidR="006B71D5" w:rsidRPr="005602A7">
        <w:rPr>
          <w:rFonts w:ascii="Garamond" w:hAnsi="Garamond"/>
        </w:rPr>
        <w:t xml:space="preserve">at 63. </w:t>
      </w:r>
    </w:p>
  </w:footnote>
  <w:footnote w:id="41">
    <w:p w14:paraId="257F26F7" w14:textId="712660CD" w:rsidR="003B3A84" w:rsidRPr="005602A7" w:rsidRDefault="003B3A8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C84FA9" w:rsidRPr="005602A7">
        <w:rPr>
          <w:rFonts w:ascii="Garamond" w:hAnsi="Garamond"/>
        </w:rPr>
        <w:t xml:space="preserve">Besson, </w:t>
      </w:r>
      <w:r w:rsidR="00EB605C" w:rsidRPr="005602A7">
        <w:rPr>
          <w:rFonts w:ascii="Garamond" w:hAnsi="Garamond"/>
          <w:i/>
          <w:iCs/>
        </w:rPr>
        <w:t>Sovereignty,</w:t>
      </w:r>
      <w:r w:rsidR="00EB605C" w:rsidRPr="005602A7">
        <w:rPr>
          <w:rFonts w:ascii="Garamond" w:hAnsi="Garamond"/>
        </w:rPr>
        <w:t xml:space="preserve"> </w:t>
      </w:r>
      <w:r w:rsidR="00F07709" w:rsidRPr="005602A7">
        <w:rPr>
          <w:rFonts w:ascii="Garamond" w:hAnsi="Garamond"/>
          <w:i/>
          <w:iCs/>
        </w:rPr>
        <w:t xml:space="preserve">supra </w:t>
      </w:r>
      <w:r w:rsidR="00F07709" w:rsidRPr="005602A7">
        <w:rPr>
          <w:rFonts w:ascii="Garamond" w:hAnsi="Garamond"/>
        </w:rPr>
        <w:t xml:space="preserve">note 18. </w:t>
      </w:r>
    </w:p>
  </w:footnote>
  <w:footnote w:id="42">
    <w:p w14:paraId="1A06856F" w14:textId="16C1F0FB" w:rsidR="003B3A84" w:rsidRPr="005602A7" w:rsidRDefault="003B3A8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Anne </w:t>
      </w:r>
      <w:r w:rsidR="006B71D5" w:rsidRPr="005602A7">
        <w:rPr>
          <w:rFonts w:ascii="Garamond" w:hAnsi="Garamond"/>
        </w:rPr>
        <w:t xml:space="preserve">Peters, </w:t>
      </w:r>
      <w:r w:rsidR="006B71D5" w:rsidRPr="005602A7">
        <w:rPr>
          <w:rFonts w:ascii="Garamond" w:hAnsi="Garamond"/>
          <w:i/>
          <w:iCs/>
        </w:rPr>
        <w:t>Humanity as the Alpha and Omega of Sovereignty</w:t>
      </w:r>
      <w:r w:rsidR="006B71D5" w:rsidRPr="005602A7">
        <w:rPr>
          <w:rFonts w:ascii="Garamond" w:hAnsi="Garamond"/>
        </w:rPr>
        <w:t>,</w:t>
      </w:r>
      <w:r w:rsidR="000D67AB" w:rsidRPr="005602A7">
        <w:rPr>
          <w:rFonts w:ascii="Garamond" w:hAnsi="Garamond"/>
        </w:rPr>
        <w:t xml:space="preserve"> 20</w:t>
      </w:r>
      <w:r w:rsidR="006B71D5" w:rsidRPr="005602A7">
        <w:rPr>
          <w:rFonts w:ascii="Garamond" w:hAnsi="Garamond"/>
        </w:rPr>
        <w:t xml:space="preserve"> EJIL 513, </w:t>
      </w:r>
      <w:r w:rsidRPr="005602A7">
        <w:rPr>
          <w:rFonts w:ascii="Garamond" w:hAnsi="Garamond"/>
        </w:rPr>
        <w:t>515</w:t>
      </w:r>
      <w:r w:rsidR="000D67AB" w:rsidRPr="005602A7">
        <w:rPr>
          <w:rFonts w:ascii="Garamond" w:hAnsi="Garamond"/>
        </w:rPr>
        <w:t xml:space="preserve"> (2009)</w:t>
      </w:r>
      <w:r w:rsidR="006B71D5" w:rsidRPr="005602A7">
        <w:rPr>
          <w:rFonts w:ascii="Garamond" w:hAnsi="Garamond"/>
        </w:rPr>
        <w:t xml:space="preserve">. </w:t>
      </w:r>
    </w:p>
  </w:footnote>
  <w:footnote w:id="43">
    <w:p w14:paraId="0739B38B" w14:textId="494BE172" w:rsidR="003B3A84" w:rsidRPr="005602A7" w:rsidRDefault="003B3A8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840164" w:rsidRPr="005602A7">
        <w:rPr>
          <w:rFonts w:ascii="Garamond" w:hAnsi="Garamond"/>
        </w:rPr>
        <w:t xml:space="preserve">Dan </w:t>
      </w:r>
      <w:proofErr w:type="spellStart"/>
      <w:r w:rsidR="00324257" w:rsidRPr="005602A7">
        <w:rPr>
          <w:rFonts w:ascii="Garamond" w:hAnsi="Garamond"/>
        </w:rPr>
        <w:t>Sarooshi</w:t>
      </w:r>
      <w:proofErr w:type="spellEnd"/>
      <w:r w:rsidR="00DD3FDD" w:rsidRPr="005602A7">
        <w:rPr>
          <w:rFonts w:ascii="Garamond" w:hAnsi="Garamond"/>
        </w:rPr>
        <w:t xml:space="preserve">, </w:t>
      </w:r>
      <w:r w:rsidR="00DD3FDD" w:rsidRPr="005602A7">
        <w:rPr>
          <w:rFonts w:ascii="Garamond" w:hAnsi="Garamond"/>
          <w:i/>
          <w:iCs/>
        </w:rPr>
        <w:t>The Essentially Contested Nature of the Concept of Sovereignty: Implications for the Exercise by International Organizations of Delegated Powers of Government</w:t>
      </w:r>
      <w:r w:rsidR="00DD3FDD" w:rsidRPr="005602A7">
        <w:rPr>
          <w:rFonts w:ascii="Garamond" w:hAnsi="Garamond"/>
        </w:rPr>
        <w:t>,</w:t>
      </w:r>
      <w:r w:rsidR="00324257" w:rsidRPr="005602A7">
        <w:rPr>
          <w:rFonts w:ascii="Garamond" w:hAnsi="Garamond"/>
        </w:rPr>
        <w:t xml:space="preserve"> </w:t>
      </w:r>
      <w:r w:rsidR="00712ED8" w:rsidRPr="005602A7">
        <w:rPr>
          <w:rFonts w:ascii="Garamond" w:hAnsi="Garamond"/>
        </w:rPr>
        <w:t xml:space="preserve">25 Mich. J. Int'l L. 1107 (2004) </w:t>
      </w:r>
      <w:r w:rsidR="00324257" w:rsidRPr="005602A7">
        <w:rPr>
          <w:rFonts w:ascii="Garamond" w:hAnsi="Garamond"/>
        </w:rPr>
        <w:t xml:space="preserve">at </w:t>
      </w:r>
      <w:r w:rsidRPr="005602A7">
        <w:rPr>
          <w:rFonts w:ascii="Garamond" w:hAnsi="Garamond"/>
        </w:rPr>
        <w:t xml:space="preserve">1117-1118. </w:t>
      </w:r>
    </w:p>
  </w:footnote>
  <w:footnote w:id="44">
    <w:p w14:paraId="4BA98229" w14:textId="785D1B3B" w:rsidR="003B3A84" w:rsidRPr="005602A7" w:rsidRDefault="003B3A8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C54FAE" w:rsidRPr="005602A7">
        <w:rPr>
          <w:rFonts w:ascii="Garamond" w:hAnsi="Garamond"/>
        </w:rPr>
        <w:t xml:space="preserve">Peters, </w:t>
      </w:r>
      <w:r w:rsidR="007A5E35" w:rsidRPr="005602A7">
        <w:rPr>
          <w:rFonts w:ascii="Garamond" w:hAnsi="Garamond"/>
          <w:i/>
          <w:iCs/>
        </w:rPr>
        <w:t>Humanity as the Alpha and Omega of Sovereignty</w:t>
      </w:r>
      <w:r w:rsidR="007A5E35" w:rsidRPr="005602A7">
        <w:rPr>
          <w:rFonts w:ascii="Garamond" w:hAnsi="Garamond"/>
        </w:rPr>
        <w:t xml:space="preserve">, </w:t>
      </w:r>
      <w:r w:rsidR="00F07709" w:rsidRPr="005602A7">
        <w:rPr>
          <w:rFonts w:ascii="Garamond" w:hAnsi="Garamond"/>
          <w:i/>
          <w:iCs/>
        </w:rPr>
        <w:t xml:space="preserve">supra </w:t>
      </w:r>
      <w:r w:rsidR="00F07709" w:rsidRPr="005602A7">
        <w:rPr>
          <w:rFonts w:ascii="Garamond" w:hAnsi="Garamond"/>
        </w:rPr>
        <w:t xml:space="preserve">note 41 at </w:t>
      </w:r>
      <w:r w:rsidR="00C54FAE" w:rsidRPr="005602A7">
        <w:rPr>
          <w:rFonts w:ascii="Garamond" w:hAnsi="Garamond"/>
        </w:rPr>
        <w:t>515</w:t>
      </w:r>
      <w:r w:rsidR="006B71D5" w:rsidRPr="005602A7">
        <w:rPr>
          <w:rFonts w:ascii="Garamond" w:hAnsi="Garamond"/>
        </w:rPr>
        <w:t xml:space="preserve">; </w:t>
      </w:r>
      <w:r w:rsidR="00EB605C" w:rsidRPr="005602A7">
        <w:rPr>
          <w:rFonts w:ascii="Garamond" w:hAnsi="Garamond"/>
        </w:rPr>
        <w:t xml:space="preserve">Besson, </w:t>
      </w:r>
      <w:r w:rsidR="00EB605C" w:rsidRPr="005602A7">
        <w:rPr>
          <w:rFonts w:ascii="Garamond" w:hAnsi="Garamond"/>
          <w:i/>
          <w:iCs/>
        </w:rPr>
        <w:t>Sovereignty,</w:t>
      </w:r>
      <w:r w:rsidR="00EB605C" w:rsidRPr="005602A7">
        <w:rPr>
          <w:rFonts w:ascii="Garamond" w:hAnsi="Garamond"/>
        </w:rPr>
        <w:t xml:space="preserve"> </w:t>
      </w:r>
      <w:r w:rsidR="00F07709" w:rsidRPr="005602A7">
        <w:rPr>
          <w:rFonts w:ascii="Garamond" w:hAnsi="Garamond"/>
          <w:i/>
          <w:iCs/>
        </w:rPr>
        <w:t xml:space="preserve">supra </w:t>
      </w:r>
      <w:r w:rsidR="00F07709" w:rsidRPr="005602A7">
        <w:rPr>
          <w:rFonts w:ascii="Garamond" w:hAnsi="Garamond"/>
        </w:rPr>
        <w:t>note 18</w:t>
      </w:r>
      <w:r w:rsidR="00324257" w:rsidRPr="005602A7">
        <w:rPr>
          <w:rFonts w:ascii="Garamond" w:hAnsi="Garamond"/>
        </w:rPr>
        <w:t xml:space="preserve">; </w:t>
      </w:r>
      <w:r w:rsidR="007A5E35" w:rsidRPr="005602A7">
        <w:rPr>
          <w:rFonts w:ascii="Garamond" w:hAnsi="Garamond"/>
        </w:rPr>
        <w:t xml:space="preserve">Loughlin, </w:t>
      </w:r>
      <w:r w:rsidR="007A5E35" w:rsidRPr="005602A7">
        <w:rPr>
          <w:rFonts w:ascii="Garamond" w:hAnsi="Garamond"/>
          <w:i/>
          <w:iCs/>
        </w:rPr>
        <w:t xml:space="preserve">The Erosion of Sovereignty, </w:t>
      </w:r>
      <w:r w:rsidR="00E87FDF" w:rsidRPr="005602A7">
        <w:rPr>
          <w:rFonts w:ascii="Garamond" w:hAnsi="Garamond"/>
          <w:i/>
          <w:iCs/>
        </w:rPr>
        <w:t>supra</w:t>
      </w:r>
      <w:r w:rsidR="00E87FDF" w:rsidRPr="005602A7">
        <w:rPr>
          <w:rFonts w:ascii="Garamond" w:hAnsi="Garamond"/>
        </w:rPr>
        <w:t xml:space="preserve"> note 34</w:t>
      </w:r>
      <w:r w:rsidR="006B71D5" w:rsidRPr="005602A7">
        <w:rPr>
          <w:rFonts w:ascii="Garamond" w:hAnsi="Garamond"/>
        </w:rPr>
        <w:t>;</w:t>
      </w:r>
      <w:r w:rsidR="00324257" w:rsidRPr="005602A7">
        <w:rPr>
          <w:rFonts w:ascii="Garamond" w:hAnsi="Garamond"/>
        </w:rPr>
        <w:t xml:space="preserve"> </w:t>
      </w:r>
      <w:proofErr w:type="spellStart"/>
      <w:r w:rsidR="00712ED8" w:rsidRPr="005602A7">
        <w:rPr>
          <w:rFonts w:ascii="Garamond" w:hAnsi="Garamond"/>
        </w:rPr>
        <w:t>Sarooshi</w:t>
      </w:r>
      <w:proofErr w:type="spellEnd"/>
      <w:r w:rsidR="00712ED8" w:rsidRPr="005602A7">
        <w:rPr>
          <w:rFonts w:ascii="Garamond" w:hAnsi="Garamond"/>
        </w:rPr>
        <w:t>,</w:t>
      </w:r>
      <w:r w:rsidR="004E06CC" w:rsidRPr="005602A7">
        <w:rPr>
          <w:rFonts w:ascii="Garamond" w:hAnsi="Garamond"/>
        </w:rPr>
        <w:t xml:space="preserve"> </w:t>
      </w:r>
      <w:r w:rsidR="004E06CC" w:rsidRPr="005602A7">
        <w:rPr>
          <w:rFonts w:ascii="Garamond" w:hAnsi="Garamond"/>
          <w:i/>
          <w:iCs/>
        </w:rPr>
        <w:t>The Essentially Contested Nature of the Concept of Sovereignty,</w:t>
      </w:r>
      <w:r w:rsidR="00712ED8" w:rsidRPr="005602A7">
        <w:rPr>
          <w:rFonts w:ascii="Garamond" w:hAnsi="Garamond"/>
        </w:rPr>
        <w:t xml:space="preserve"> </w:t>
      </w:r>
      <w:r w:rsidR="00E87FDF" w:rsidRPr="005602A7">
        <w:rPr>
          <w:rFonts w:ascii="Garamond" w:hAnsi="Garamond"/>
          <w:i/>
          <w:iCs/>
        </w:rPr>
        <w:t xml:space="preserve">supra </w:t>
      </w:r>
      <w:r w:rsidR="00E87FDF" w:rsidRPr="005602A7">
        <w:rPr>
          <w:rFonts w:ascii="Garamond" w:hAnsi="Garamond"/>
        </w:rPr>
        <w:t xml:space="preserve">note 42; </w:t>
      </w:r>
      <w:r w:rsidR="000D67AB" w:rsidRPr="005602A7">
        <w:rPr>
          <w:rFonts w:ascii="Garamond" w:hAnsi="Garamond"/>
          <w:smallCaps/>
        </w:rPr>
        <w:t xml:space="preserve">Hermann Heller, Sovereignty: A Contribution to the Theory of Public and International Law, </w:t>
      </w:r>
      <w:r w:rsidR="000D67AB" w:rsidRPr="005602A7">
        <w:rPr>
          <w:rFonts w:ascii="Garamond" w:hAnsi="Garamond"/>
        </w:rPr>
        <w:t xml:space="preserve">140 (David </w:t>
      </w:r>
      <w:proofErr w:type="spellStart"/>
      <w:r w:rsidR="000D67AB" w:rsidRPr="005602A7">
        <w:rPr>
          <w:rFonts w:ascii="Garamond" w:hAnsi="Garamond"/>
        </w:rPr>
        <w:t>Dyzenhaus</w:t>
      </w:r>
      <w:proofErr w:type="spellEnd"/>
      <w:r w:rsidR="000D67AB" w:rsidRPr="005602A7">
        <w:rPr>
          <w:rFonts w:ascii="Garamond" w:hAnsi="Garamond"/>
        </w:rPr>
        <w:t xml:space="preserve"> ed. 2019 translation).</w:t>
      </w:r>
    </w:p>
  </w:footnote>
  <w:footnote w:id="45">
    <w:p w14:paraId="5D5A2D36" w14:textId="48E02833" w:rsidR="006D1831" w:rsidRPr="005602A7" w:rsidRDefault="006D1831" w:rsidP="001340AF">
      <w:pPr>
        <w:pStyle w:val="FootnoteText"/>
        <w:jc w:val="both"/>
        <w:rPr>
          <w:rFonts w:ascii="Garamond" w:hAnsi="Garamond"/>
        </w:rPr>
      </w:pPr>
      <w:r w:rsidRPr="005602A7">
        <w:rPr>
          <w:rStyle w:val="FootnoteReference"/>
          <w:rFonts w:ascii="Garamond" w:hAnsi="Garamond"/>
        </w:rPr>
        <w:footnoteRef/>
      </w:r>
      <w:r w:rsidR="00324257" w:rsidRPr="005602A7">
        <w:rPr>
          <w:rFonts w:ascii="Garamond" w:hAnsi="Garamond"/>
        </w:rPr>
        <w:t xml:space="preserve"> </w:t>
      </w:r>
      <w:proofErr w:type="spellStart"/>
      <w:r w:rsidR="00D42724" w:rsidRPr="005602A7">
        <w:rPr>
          <w:rFonts w:ascii="Garamond" w:hAnsi="Garamond"/>
        </w:rPr>
        <w:t>Waltermann</w:t>
      </w:r>
      <w:proofErr w:type="spellEnd"/>
      <w:r w:rsidR="00D42724" w:rsidRPr="005602A7">
        <w:rPr>
          <w:rFonts w:ascii="Garamond" w:hAnsi="Garamond"/>
        </w:rPr>
        <w:t xml:space="preserve">, </w:t>
      </w:r>
      <w:r w:rsidR="00570DC2" w:rsidRPr="005602A7">
        <w:rPr>
          <w:rFonts w:ascii="Garamond" w:hAnsi="Garamond"/>
          <w:i/>
          <w:iCs/>
        </w:rPr>
        <w:t xml:space="preserve">State Sovereignty as a Legal Status, </w:t>
      </w:r>
      <w:r w:rsidR="00F07709" w:rsidRPr="005602A7">
        <w:rPr>
          <w:rFonts w:ascii="Garamond" w:hAnsi="Garamond"/>
          <w:i/>
          <w:iCs/>
        </w:rPr>
        <w:t xml:space="preserve">supra </w:t>
      </w:r>
      <w:r w:rsidR="00F07709" w:rsidRPr="005602A7">
        <w:rPr>
          <w:rFonts w:ascii="Garamond" w:hAnsi="Garamond"/>
        </w:rPr>
        <w:t xml:space="preserve">note 19 </w:t>
      </w:r>
      <w:r w:rsidR="00324257" w:rsidRPr="005602A7">
        <w:rPr>
          <w:rFonts w:ascii="Garamond" w:hAnsi="Garamond"/>
        </w:rPr>
        <w:t>at p</w:t>
      </w:r>
      <w:proofErr w:type="spellStart"/>
      <w:r w:rsidRPr="005602A7">
        <w:rPr>
          <w:rFonts w:ascii="Garamond" w:hAnsi="Garamond"/>
          <w:lang w:val="en-US"/>
        </w:rPr>
        <w:t>ara</w:t>
      </w:r>
      <w:proofErr w:type="spellEnd"/>
      <w:r w:rsidRPr="005602A7">
        <w:rPr>
          <w:rFonts w:ascii="Garamond" w:hAnsi="Garamond"/>
          <w:lang w:val="en-US"/>
        </w:rPr>
        <w:t xml:space="preserve"> x.51</w:t>
      </w:r>
      <w:r w:rsidR="00324257" w:rsidRPr="005602A7">
        <w:rPr>
          <w:rFonts w:ascii="Garamond" w:hAnsi="Garamond"/>
          <w:lang w:val="en-US"/>
        </w:rPr>
        <w:t>.</w:t>
      </w:r>
      <w:r w:rsidRPr="005602A7">
        <w:rPr>
          <w:rFonts w:ascii="Garamond" w:hAnsi="Garamond"/>
          <w:lang w:val="en-US"/>
        </w:rPr>
        <w:t xml:space="preserve">For more authors who equate sovereignty with a legal status, see </w:t>
      </w:r>
      <w:r w:rsidR="00F07709" w:rsidRPr="005602A7">
        <w:rPr>
          <w:rFonts w:ascii="Garamond" w:hAnsi="Garamond"/>
        </w:rPr>
        <w:t xml:space="preserve">Peters, </w:t>
      </w:r>
      <w:r w:rsidR="007A5E35" w:rsidRPr="005602A7">
        <w:rPr>
          <w:rFonts w:ascii="Garamond" w:hAnsi="Garamond"/>
          <w:i/>
          <w:iCs/>
        </w:rPr>
        <w:t>Humanity as the Alpha and Omega of Sovereignty</w:t>
      </w:r>
      <w:r w:rsidR="007A5E35" w:rsidRPr="005602A7">
        <w:rPr>
          <w:rFonts w:ascii="Garamond" w:hAnsi="Garamond"/>
        </w:rPr>
        <w:t xml:space="preserve">, </w:t>
      </w:r>
      <w:r w:rsidR="00F07709" w:rsidRPr="005602A7">
        <w:rPr>
          <w:rFonts w:ascii="Garamond" w:hAnsi="Garamond"/>
          <w:i/>
          <w:iCs/>
        </w:rPr>
        <w:t xml:space="preserve">supra </w:t>
      </w:r>
      <w:r w:rsidR="00F07709" w:rsidRPr="005602A7">
        <w:rPr>
          <w:rFonts w:ascii="Garamond" w:hAnsi="Garamond"/>
        </w:rPr>
        <w:t xml:space="preserve">note 41 at </w:t>
      </w:r>
      <w:r w:rsidRPr="005602A7">
        <w:rPr>
          <w:rFonts w:ascii="Garamond" w:hAnsi="Garamond"/>
          <w:lang w:val="en-US"/>
        </w:rPr>
        <w:t>515</w:t>
      </w:r>
      <w:r w:rsidR="00324257" w:rsidRPr="005602A7">
        <w:rPr>
          <w:rFonts w:ascii="Garamond" w:hAnsi="Garamond"/>
          <w:lang w:val="en-US"/>
        </w:rPr>
        <w:t>.</w:t>
      </w:r>
      <w:r w:rsidRPr="005602A7">
        <w:rPr>
          <w:rFonts w:ascii="Garamond" w:hAnsi="Garamond"/>
          <w:lang w:val="en-US"/>
        </w:rPr>
        <w:t xml:space="preserve"> </w:t>
      </w:r>
    </w:p>
  </w:footnote>
  <w:footnote w:id="46">
    <w:p w14:paraId="67854A28" w14:textId="395FAF8E" w:rsidR="006D1831" w:rsidRPr="005602A7" w:rsidRDefault="006D1831"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F07709" w:rsidRPr="005602A7">
        <w:rPr>
          <w:rFonts w:ascii="Garamond" w:hAnsi="Garamond"/>
        </w:rPr>
        <w:t>Waltermann</w:t>
      </w:r>
      <w:proofErr w:type="spellEnd"/>
      <w:r w:rsidR="00F07709" w:rsidRPr="005602A7">
        <w:rPr>
          <w:rFonts w:ascii="Garamond" w:hAnsi="Garamond"/>
        </w:rPr>
        <w:t>,</w:t>
      </w:r>
      <w:r w:rsidR="00570DC2" w:rsidRPr="005602A7">
        <w:rPr>
          <w:rFonts w:ascii="Garamond" w:hAnsi="Garamond"/>
        </w:rPr>
        <w:t xml:space="preserve"> </w:t>
      </w:r>
      <w:r w:rsidR="00570DC2" w:rsidRPr="005602A7">
        <w:rPr>
          <w:rFonts w:ascii="Garamond" w:hAnsi="Garamond"/>
          <w:i/>
          <w:iCs/>
        </w:rPr>
        <w:t>State Sovereignty as a Legal Status</w:t>
      </w:r>
      <w:r w:rsidR="00F07709" w:rsidRPr="005602A7">
        <w:rPr>
          <w:rFonts w:ascii="Garamond" w:hAnsi="Garamond"/>
        </w:rPr>
        <w:t xml:space="preserve"> </w:t>
      </w:r>
      <w:r w:rsidR="00F07709" w:rsidRPr="005602A7">
        <w:rPr>
          <w:rFonts w:ascii="Garamond" w:hAnsi="Garamond"/>
          <w:i/>
          <w:iCs/>
        </w:rPr>
        <w:t xml:space="preserve">supra </w:t>
      </w:r>
      <w:r w:rsidR="00F07709" w:rsidRPr="005602A7">
        <w:rPr>
          <w:rFonts w:ascii="Garamond" w:hAnsi="Garamond"/>
        </w:rPr>
        <w:t>note 19 at</w:t>
      </w:r>
      <w:r w:rsidR="00324257" w:rsidRPr="005602A7">
        <w:rPr>
          <w:rFonts w:ascii="Garamond" w:hAnsi="Garamond"/>
        </w:rPr>
        <w:t xml:space="preserve"> </w:t>
      </w:r>
      <w:r w:rsidRPr="005602A7">
        <w:rPr>
          <w:rFonts w:ascii="Garamond" w:hAnsi="Garamond"/>
          <w:lang w:val="en-US"/>
        </w:rPr>
        <w:t>Para x.47;</w:t>
      </w:r>
      <w:r w:rsidR="00324257" w:rsidRPr="005602A7">
        <w:rPr>
          <w:rFonts w:ascii="Garamond" w:hAnsi="Garamond"/>
          <w:lang w:val="en-US"/>
        </w:rPr>
        <w:t xml:space="preserve"> </w:t>
      </w:r>
      <w:r w:rsidR="000D67AB" w:rsidRPr="005602A7">
        <w:rPr>
          <w:rFonts w:ascii="Garamond" w:hAnsi="Garamond"/>
          <w:smallCaps/>
          <w:lang w:val="en-US"/>
        </w:rPr>
        <w:t>James Crawford,</w:t>
      </w:r>
      <w:r w:rsidR="000D67AB" w:rsidRPr="005602A7">
        <w:rPr>
          <w:rFonts w:ascii="Garamond" w:hAnsi="Garamond"/>
          <w:lang w:val="en-US"/>
        </w:rPr>
        <w:t xml:space="preserve"> </w:t>
      </w:r>
      <w:r w:rsidR="00324257" w:rsidRPr="005602A7">
        <w:rPr>
          <w:rFonts w:ascii="Garamond" w:hAnsi="Garamond"/>
          <w:smallCaps/>
          <w:lang w:val="en-US"/>
        </w:rPr>
        <w:t>The Creation of States in International Law</w:t>
      </w:r>
      <w:r w:rsidR="00324257" w:rsidRPr="005602A7">
        <w:rPr>
          <w:rFonts w:ascii="Garamond" w:hAnsi="Garamond"/>
          <w:lang w:val="en-US"/>
        </w:rPr>
        <w:t xml:space="preserve">, </w:t>
      </w:r>
      <w:r w:rsidR="00B37064" w:rsidRPr="005602A7">
        <w:rPr>
          <w:rFonts w:ascii="Garamond" w:hAnsi="Garamond"/>
          <w:lang w:val="en-US"/>
        </w:rPr>
        <w:t xml:space="preserve">1-47 </w:t>
      </w:r>
      <w:r w:rsidR="000D67AB" w:rsidRPr="005602A7">
        <w:rPr>
          <w:rFonts w:ascii="Garamond" w:hAnsi="Garamond"/>
          <w:lang w:val="en-US"/>
        </w:rPr>
        <w:t xml:space="preserve">(OUP, </w:t>
      </w:r>
      <w:r w:rsidR="00F85CA2" w:rsidRPr="005602A7">
        <w:rPr>
          <w:rFonts w:ascii="Garamond" w:hAnsi="Garamond"/>
          <w:lang w:val="en-US"/>
        </w:rPr>
        <w:t>2007</w:t>
      </w:r>
      <w:r w:rsidR="000D67AB" w:rsidRPr="005602A7">
        <w:rPr>
          <w:rFonts w:ascii="Garamond" w:hAnsi="Garamond"/>
          <w:lang w:val="en-US"/>
        </w:rPr>
        <w:t>)</w:t>
      </w:r>
      <w:r w:rsidR="00324257" w:rsidRPr="005602A7">
        <w:rPr>
          <w:rFonts w:ascii="Garamond" w:hAnsi="Garamond"/>
          <w:lang w:val="en-US"/>
        </w:rPr>
        <w:t xml:space="preserve">. </w:t>
      </w:r>
    </w:p>
  </w:footnote>
  <w:footnote w:id="47">
    <w:p w14:paraId="7F7ABCB1" w14:textId="307117FA" w:rsidR="006D1831" w:rsidRPr="005602A7" w:rsidRDefault="006D1831"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F07709" w:rsidRPr="005602A7">
        <w:rPr>
          <w:rFonts w:ascii="Garamond" w:hAnsi="Garamond"/>
        </w:rPr>
        <w:t>Waltermann</w:t>
      </w:r>
      <w:proofErr w:type="spellEnd"/>
      <w:r w:rsidR="00F07709" w:rsidRPr="005602A7">
        <w:rPr>
          <w:rFonts w:ascii="Garamond" w:hAnsi="Garamond"/>
        </w:rPr>
        <w:t xml:space="preserve">, </w:t>
      </w:r>
      <w:r w:rsidR="00570DC2" w:rsidRPr="005602A7">
        <w:rPr>
          <w:rFonts w:ascii="Garamond" w:hAnsi="Garamond"/>
          <w:i/>
          <w:iCs/>
        </w:rPr>
        <w:t xml:space="preserve">State Sovereignty as a Legal Status, </w:t>
      </w:r>
      <w:r w:rsidR="00F07709" w:rsidRPr="005602A7">
        <w:rPr>
          <w:rFonts w:ascii="Garamond" w:hAnsi="Garamond"/>
          <w:i/>
          <w:iCs/>
        </w:rPr>
        <w:t xml:space="preserve">supra </w:t>
      </w:r>
      <w:r w:rsidR="00F07709" w:rsidRPr="005602A7">
        <w:rPr>
          <w:rFonts w:ascii="Garamond" w:hAnsi="Garamond"/>
        </w:rPr>
        <w:t>note 19 at</w:t>
      </w:r>
      <w:r w:rsidR="00324257" w:rsidRPr="005602A7">
        <w:rPr>
          <w:rFonts w:ascii="Garamond" w:hAnsi="Garamond"/>
        </w:rPr>
        <w:t xml:space="preserve"> </w:t>
      </w:r>
      <w:r w:rsidRPr="005602A7">
        <w:rPr>
          <w:rFonts w:ascii="Garamond" w:hAnsi="Garamond"/>
        </w:rPr>
        <w:t>X.49</w:t>
      </w:r>
      <w:r w:rsidR="00324257" w:rsidRPr="005602A7">
        <w:rPr>
          <w:rFonts w:ascii="Garamond" w:hAnsi="Garamond"/>
        </w:rPr>
        <w:t>.</w:t>
      </w:r>
      <w:r w:rsidRPr="005602A7">
        <w:rPr>
          <w:rFonts w:ascii="Garamond" w:hAnsi="Garamond"/>
        </w:rPr>
        <w:t xml:space="preserve"> </w:t>
      </w:r>
    </w:p>
  </w:footnote>
  <w:footnote w:id="48">
    <w:p w14:paraId="29701FA8" w14:textId="3DF156EC" w:rsidR="00692C39" w:rsidRPr="005602A7" w:rsidRDefault="00692C39" w:rsidP="001340AF">
      <w:pPr>
        <w:pStyle w:val="FootnoteText"/>
        <w:jc w:val="both"/>
        <w:rPr>
          <w:rFonts w:ascii="Garamond" w:hAnsi="Garamond"/>
          <w:iCs/>
          <w:smallCaps/>
          <w:lang w:val="en-US"/>
        </w:rPr>
      </w:pPr>
      <w:r w:rsidRPr="005602A7">
        <w:rPr>
          <w:rStyle w:val="FootnoteReference"/>
          <w:rFonts w:ascii="Garamond" w:hAnsi="Garamond"/>
        </w:rPr>
        <w:footnoteRef/>
      </w:r>
      <w:r w:rsidRPr="005602A7">
        <w:rPr>
          <w:rFonts w:ascii="Garamond" w:hAnsi="Garamond"/>
        </w:rPr>
        <w:t xml:space="preserve"> </w:t>
      </w:r>
      <w:r w:rsidR="007A7D7C" w:rsidRPr="005602A7">
        <w:rPr>
          <w:rFonts w:ascii="Garamond" w:hAnsi="Garamond"/>
          <w:lang w:val="en-US"/>
        </w:rPr>
        <w:t xml:space="preserve">Raf </w:t>
      </w:r>
      <w:proofErr w:type="spellStart"/>
      <w:r w:rsidR="007A7D7C" w:rsidRPr="005602A7">
        <w:rPr>
          <w:rFonts w:ascii="Garamond" w:hAnsi="Garamond"/>
          <w:lang w:val="en-US"/>
        </w:rPr>
        <w:t>Geenens</w:t>
      </w:r>
      <w:proofErr w:type="spellEnd"/>
      <w:r w:rsidR="007A7D7C" w:rsidRPr="005602A7">
        <w:rPr>
          <w:rFonts w:ascii="Garamond" w:hAnsi="Garamond"/>
          <w:lang w:val="en-US"/>
        </w:rPr>
        <w:t xml:space="preserve">, </w:t>
      </w:r>
      <w:r w:rsidR="007A7D7C" w:rsidRPr="005602A7">
        <w:rPr>
          <w:rFonts w:ascii="Garamond" w:hAnsi="Garamond"/>
          <w:i/>
          <w:iCs/>
          <w:lang w:val="en-US"/>
        </w:rPr>
        <w:t>E pluribus unum? The Manifold Meanings of Sovereignty</w:t>
      </w:r>
      <w:r w:rsidR="007A7D7C" w:rsidRPr="005602A7">
        <w:rPr>
          <w:rFonts w:ascii="Garamond" w:hAnsi="Garamond"/>
          <w:lang w:val="en-US"/>
        </w:rPr>
        <w:t xml:space="preserve">, </w:t>
      </w:r>
      <w:r w:rsidR="000D67AB" w:rsidRPr="005602A7">
        <w:rPr>
          <w:rFonts w:ascii="Garamond" w:hAnsi="Garamond"/>
          <w:lang w:val="en-US"/>
        </w:rPr>
        <w:t xml:space="preserve">45 </w:t>
      </w:r>
      <w:r w:rsidR="007A7D7C" w:rsidRPr="005602A7">
        <w:rPr>
          <w:rFonts w:ascii="Garamond" w:hAnsi="Garamond"/>
          <w:smallCaps/>
          <w:lang w:val="en-US"/>
        </w:rPr>
        <w:t>Netherlands Journal of Legal Philosophy</w:t>
      </w:r>
      <w:r w:rsidR="007A7D7C" w:rsidRPr="005602A7">
        <w:rPr>
          <w:rFonts w:ascii="Garamond" w:hAnsi="Garamond"/>
          <w:lang w:val="en-US"/>
        </w:rPr>
        <w:t xml:space="preserve">, 15, </w:t>
      </w:r>
      <w:r w:rsidRPr="005602A7">
        <w:rPr>
          <w:rFonts w:ascii="Garamond" w:hAnsi="Garamond"/>
          <w:lang w:val="en-US"/>
        </w:rPr>
        <w:t>32</w:t>
      </w:r>
      <w:r w:rsidR="000D67AB" w:rsidRPr="005602A7">
        <w:rPr>
          <w:rFonts w:ascii="Garamond" w:hAnsi="Garamond"/>
          <w:lang w:val="en-US"/>
        </w:rPr>
        <w:t xml:space="preserve"> (2016)</w:t>
      </w:r>
      <w:r w:rsidR="0044105B" w:rsidRPr="005602A7">
        <w:rPr>
          <w:rFonts w:ascii="Garamond" w:hAnsi="Garamond"/>
          <w:lang w:val="en-US"/>
        </w:rPr>
        <w:t xml:space="preserve">; </w:t>
      </w:r>
      <w:r w:rsidR="00E708CB" w:rsidRPr="005602A7">
        <w:rPr>
          <w:rFonts w:ascii="Garamond" w:hAnsi="Garamond"/>
          <w:lang w:val="en-US"/>
        </w:rPr>
        <w:t xml:space="preserve">Brad Roth, </w:t>
      </w:r>
      <w:r w:rsidR="00E708CB" w:rsidRPr="005602A7">
        <w:rPr>
          <w:rFonts w:ascii="Garamond" w:hAnsi="Garamond"/>
          <w:i/>
        </w:rPr>
        <w:t>Sovereign Equality and "Bounded Pluralism" in the International Legal Order</w:t>
      </w:r>
      <w:r w:rsidR="000D67AB" w:rsidRPr="005602A7">
        <w:rPr>
          <w:rFonts w:ascii="Garamond" w:hAnsi="Garamond"/>
          <w:iCs/>
        </w:rPr>
        <w:t xml:space="preserve">, </w:t>
      </w:r>
      <w:r w:rsidR="000D67AB" w:rsidRPr="005602A7">
        <w:rPr>
          <w:rFonts w:ascii="Garamond" w:hAnsi="Garamond"/>
        </w:rPr>
        <w:t xml:space="preserve">Vol. 99 </w:t>
      </w:r>
      <w:r w:rsidR="00E708CB" w:rsidRPr="005602A7">
        <w:rPr>
          <w:rFonts w:ascii="Garamond" w:hAnsi="Garamond"/>
          <w:smallCaps/>
        </w:rPr>
        <w:t xml:space="preserve">Proceedings of the Annual Meeting (American Society of International Law) </w:t>
      </w:r>
      <w:r w:rsidR="00571FB9" w:rsidRPr="005602A7">
        <w:rPr>
          <w:rFonts w:ascii="Garamond" w:hAnsi="Garamond"/>
          <w:smallCaps/>
        </w:rPr>
        <w:t xml:space="preserve">, </w:t>
      </w:r>
      <w:r w:rsidR="00E708CB" w:rsidRPr="005602A7">
        <w:rPr>
          <w:rFonts w:ascii="Garamond" w:hAnsi="Garamond"/>
          <w:smallCaps/>
        </w:rPr>
        <w:t>M</w:t>
      </w:r>
      <w:r w:rsidR="000D67AB" w:rsidRPr="005602A7">
        <w:rPr>
          <w:rFonts w:ascii="Garamond" w:hAnsi="Garamond"/>
          <w:smallCaps/>
        </w:rPr>
        <w:t>arch</w:t>
      </w:r>
      <w:r w:rsidR="00E708CB" w:rsidRPr="005602A7">
        <w:rPr>
          <w:rFonts w:ascii="Garamond" w:hAnsi="Garamond"/>
          <w:smallCaps/>
        </w:rPr>
        <w:t xml:space="preserve"> 30-A</w:t>
      </w:r>
      <w:r w:rsidR="000D67AB" w:rsidRPr="005602A7">
        <w:rPr>
          <w:rFonts w:ascii="Garamond" w:hAnsi="Garamond"/>
          <w:smallCaps/>
        </w:rPr>
        <w:t xml:space="preserve">pril </w:t>
      </w:r>
      <w:r w:rsidR="00E708CB" w:rsidRPr="005602A7">
        <w:rPr>
          <w:rFonts w:ascii="Garamond" w:hAnsi="Garamond"/>
          <w:smallCaps/>
        </w:rPr>
        <w:t>2,</w:t>
      </w:r>
      <w:r w:rsidR="00E708CB" w:rsidRPr="005602A7">
        <w:rPr>
          <w:rFonts w:ascii="Garamond" w:hAnsi="Garamond"/>
        </w:rPr>
        <w:t xml:space="preserve"> 2005, pp. 392, </w:t>
      </w:r>
      <w:r w:rsidR="00E708CB" w:rsidRPr="005602A7">
        <w:rPr>
          <w:rFonts w:ascii="Garamond" w:hAnsi="Garamond"/>
          <w:lang w:val="en-US"/>
        </w:rPr>
        <w:t>393</w:t>
      </w:r>
      <w:r w:rsidR="007619CB" w:rsidRPr="005602A7">
        <w:rPr>
          <w:rFonts w:ascii="Garamond" w:hAnsi="Garamond"/>
          <w:lang w:val="en-US"/>
        </w:rPr>
        <w:t xml:space="preserve"> </w:t>
      </w:r>
      <w:r w:rsidR="000D67AB" w:rsidRPr="005602A7">
        <w:rPr>
          <w:rFonts w:ascii="Garamond" w:hAnsi="Garamond"/>
          <w:lang w:val="en-US"/>
        </w:rPr>
        <w:t>(2005)</w:t>
      </w:r>
      <w:r w:rsidR="0024766A" w:rsidRPr="005602A7">
        <w:rPr>
          <w:rFonts w:ascii="Garamond" w:hAnsi="Garamond"/>
          <w:lang w:val="en-US"/>
        </w:rPr>
        <w:t>; art. 2, UN Charter</w:t>
      </w:r>
      <w:r w:rsidR="002F42EC" w:rsidRPr="005602A7">
        <w:rPr>
          <w:rFonts w:ascii="Garamond" w:hAnsi="Garamond"/>
          <w:lang w:val="en-US"/>
        </w:rPr>
        <w:t>;</w:t>
      </w:r>
      <w:r w:rsidR="00A95ADA" w:rsidRPr="005602A7">
        <w:rPr>
          <w:rFonts w:ascii="Garamond" w:hAnsi="Garamond"/>
          <w:lang w:val="en-US"/>
        </w:rPr>
        <w:t xml:space="preserve"> </w:t>
      </w:r>
      <w:r w:rsidR="00AE1540" w:rsidRPr="005602A7">
        <w:rPr>
          <w:rFonts w:ascii="Garamond" w:hAnsi="Garamond"/>
          <w:lang w:val="en-US"/>
        </w:rPr>
        <w:t xml:space="preserve">Since </w:t>
      </w:r>
      <w:r w:rsidR="00E51427" w:rsidRPr="005602A7">
        <w:rPr>
          <w:rFonts w:ascii="Garamond" w:hAnsi="Garamond"/>
          <w:lang w:val="en-US"/>
        </w:rPr>
        <w:t xml:space="preserve">I am only focusing </w:t>
      </w:r>
      <w:r w:rsidR="00AE1540" w:rsidRPr="005602A7">
        <w:rPr>
          <w:rFonts w:ascii="Garamond" w:hAnsi="Garamond"/>
          <w:lang w:val="en-US"/>
        </w:rPr>
        <w:t xml:space="preserve">on </w:t>
      </w:r>
      <w:r w:rsidR="00966436" w:rsidRPr="005602A7">
        <w:rPr>
          <w:rFonts w:ascii="Garamond" w:hAnsi="Garamond"/>
          <w:lang w:val="en-US"/>
        </w:rPr>
        <w:t xml:space="preserve">the concept of </w:t>
      </w:r>
      <w:r w:rsidR="00AE1540" w:rsidRPr="005602A7">
        <w:rPr>
          <w:rFonts w:ascii="Garamond" w:hAnsi="Garamond"/>
          <w:lang w:val="en-US"/>
        </w:rPr>
        <w:t>external sovereignty, and this is a legal status only available to states,</w:t>
      </w:r>
      <w:r w:rsidR="002F42EC" w:rsidRPr="005602A7">
        <w:rPr>
          <w:rFonts w:ascii="Garamond" w:hAnsi="Garamond"/>
          <w:lang w:val="en-US"/>
        </w:rPr>
        <w:t xml:space="preserve"> </w:t>
      </w:r>
      <w:r w:rsidR="00E51427" w:rsidRPr="005602A7">
        <w:rPr>
          <w:rFonts w:ascii="Garamond" w:hAnsi="Garamond"/>
          <w:lang w:val="en-US"/>
        </w:rPr>
        <w:t xml:space="preserve">I </w:t>
      </w:r>
      <w:r w:rsidR="00AD04A0" w:rsidRPr="005602A7">
        <w:rPr>
          <w:rFonts w:ascii="Garamond" w:hAnsi="Garamond"/>
          <w:lang w:val="en-US"/>
        </w:rPr>
        <w:t xml:space="preserve">draw on the </w:t>
      </w:r>
      <w:r w:rsidR="00AD0005" w:rsidRPr="005602A7">
        <w:rPr>
          <w:rFonts w:ascii="Garamond" w:hAnsi="Garamond"/>
          <w:lang w:val="en-US"/>
        </w:rPr>
        <w:t xml:space="preserve">importance of recognition. That is not to deny that the declaratory theory of statehood </w:t>
      </w:r>
      <w:r w:rsidR="00E72229" w:rsidRPr="005602A7">
        <w:rPr>
          <w:rFonts w:ascii="Garamond" w:hAnsi="Garamond"/>
          <w:lang w:val="en-US"/>
        </w:rPr>
        <w:t>has prevailed</w:t>
      </w:r>
      <w:r w:rsidR="008C6D91" w:rsidRPr="005602A7">
        <w:rPr>
          <w:rFonts w:ascii="Garamond" w:hAnsi="Garamond"/>
          <w:lang w:val="en-US"/>
        </w:rPr>
        <w:t xml:space="preserve"> in international law, but only to concede that a constituent element of statehood</w:t>
      </w:r>
      <w:r w:rsidR="002C3EA9" w:rsidRPr="005602A7">
        <w:rPr>
          <w:rFonts w:ascii="Garamond" w:hAnsi="Garamond"/>
          <w:lang w:val="en-US"/>
        </w:rPr>
        <w:t xml:space="preserve"> </w:t>
      </w:r>
      <w:r w:rsidR="008C6D91" w:rsidRPr="005602A7">
        <w:rPr>
          <w:rFonts w:ascii="Garamond" w:hAnsi="Garamond"/>
          <w:lang w:val="en-US"/>
        </w:rPr>
        <w:t xml:space="preserve">is the capacity to </w:t>
      </w:r>
      <w:proofErr w:type="gramStart"/>
      <w:r w:rsidR="008C6D91" w:rsidRPr="005602A7">
        <w:rPr>
          <w:rFonts w:ascii="Garamond" w:hAnsi="Garamond"/>
          <w:lang w:val="en-US"/>
        </w:rPr>
        <w:t>enter into</w:t>
      </w:r>
      <w:proofErr w:type="gramEnd"/>
      <w:r w:rsidR="008C6D91" w:rsidRPr="005602A7">
        <w:rPr>
          <w:rFonts w:ascii="Garamond" w:hAnsi="Garamond"/>
          <w:lang w:val="en-US"/>
        </w:rPr>
        <w:t xml:space="preserve"> international relations, and recognition is indispensable for this to be effective. </w:t>
      </w:r>
      <w:r w:rsidR="002F42EC" w:rsidRPr="005602A7">
        <w:rPr>
          <w:rFonts w:ascii="Garamond" w:hAnsi="Garamond"/>
          <w:lang w:val="en-US"/>
        </w:rPr>
        <w:t xml:space="preserve">The </w:t>
      </w:r>
      <w:r w:rsidR="00DF65FE" w:rsidRPr="005602A7">
        <w:rPr>
          <w:rFonts w:ascii="Garamond" w:hAnsi="Garamond"/>
          <w:lang w:val="en-US"/>
        </w:rPr>
        <w:t xml:space="preserve">life and death of the Republic of Artsakh </w:t>
      </w:r>
      <w:r w:rsidR="00037B88" w:rsidRPr="005602A7">
        <w:rPr>
          <w:rFonts w:ascii="Garamond" w:hAnsi="Garamond"/>
          <w:lang w:val="en-US"/>
        </w:rPr>
        <w:t>serves to illustrate the importance of recognition</w:t>
      </w:r>
      <w:r w:rsidR="004C6617" w:rsidRPr="005602A7">
        <w:rPr>
          <w:rFonts w:ascii="Garamond" w:hAnsi="Garamond"/>
          <w:lang w:val="en-US"/>
        </w:rPr>
        <w:t xml:space="preserve">: </w:t>
      </w:r>
      <w:r w:rsidR="00C37BA4" w:rsidRPr="005602A7">
        <w:rPr>
          <w:rFonts w:ascii="Garamond" w:hAnsi="Garamond"/>
          <w:lang w:val="en-US"/>
        </w:rPr>
        <w:t>see,</w:t>
      </w:r>
      <w:r w:rsidR="004C6617" w:rsidRPr="005602A7">
        <w:rPr>
          <w:rFonts w:ascii="Garamond" w:hAnsi="Garamond"/>
          <w:lang w:val="en-US"/>
        </w:rPr>
        <w:t xml:space="preserve"> Victor Santos </w:t>
      </w:r>
      <w:proofErr w:type="spellStart"/>
      <w:r w:rsidR="004C6617" w:rsidRPr="005602A7">
        <w:rPr>
          <w:rFonts w:ascii="Garamond" w:hAnsi="Garamond"/>
          <w:lang w:val="en-US"/>
        </w:rPr>
        <w:t>Mariottini</w:t>
      </w:r>
      <w:proofErr w:type="spellEnd"/>
      <w:r w:rsidR="004C6617" w:rsidRPr="005602A7">
        <w:rPr>
          <w:rFonts w:ascii="Garamond" w:hAnsi="Garamond"/>
          <w:lang w:val="en-US"/>
        </w:rPr>
        <w:t xml:space="preserve"> de Oliveira, </w:t>
      </w:r>
      <w:r w:rsidR="004C6617" w:rsidRPr="005602A7">
        <w:rPr>
          <w:rFonts w:ascii="Garamond" w:hAnsi="Garamond"/>
          <w:i/>
          <w:iCs/>
          <w:lang w:val="en-US"/>
        </w:rPr>
        <w:t xml:space="preserve">Where De Facto States Come to Rest: The Approaching Demise of the So-called Republic of Artsakh, </w:t>
      </w:r>
      <w:r w:rsidR="004C6617" w:rsidRPr="005602A7">
        <w:rPr>
          <w:rFonts w:ascii="Garamond" w:hAnsi="Garamond"/>
          <w:iCs/>
          <w:smallCaps/>
          <w:lang w:val="en-US"/>
        </w:rPr>
        <w:t>Opinio Juris, (</w:t>
      </w:r>
      <w:r w:rsidR="007E4F03" w:rsidRPr="005602A7">
        <w:rPr>
          <w:rFonts w:ascii="Garamond" w:hAnsi="Garamond"/>
          <w:iCs/>
          <w:lang w:val="en-US"/>
        </w:rPr>
        <w:t>Oct. 18, 2023</w:t>
      </w:r>
      <w:r w:rsidR="004C6617" w:rsidRPr="005602A7">
        <w:rPr>
          <w:rFonts w:ascii="Garamond" w:hAnsi="Garamond"/>
          <w:iCs/>
          <w:lang w:val="en-US"/>
        </w:rPr>
        <w:t>)</w:t>
      </w:r>
      <w:r w:rsidR="007E4F03" w:rsidRPr="005602A7">
        <w:rPr>
          <w:rFonts w:ascii="Garamond" w:hAnsi="Garamond"/>
          <w:iCs/>
          <w:lang w:val="en-US"/>
        </w:rPr>
        <w:t xml:space="preserve"> https://opiniojuris.org/2023/10/18/where-de-facto-states-come-to-rest-the-approaching-demise-of-the-so-called-republic-of-artsakh/. </w:t>
      </w:r>
    </w:p>
  </w:footnote>
  <w:footnote w:id="49">
    <w:p w14:paraId="0EA6A5BE" w14:textId="0FB63CA1" w:rsidR="00EA2CB8" w:rsidRPr="005602A7" w:rsidRDefault="00EA2CB8"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B605C" w:rsidRPr="005602A7">
        <w:rPr>
          <w:rFonts w:ascii="Garamond" w:hAnsi="Garamond"/>
        </w:rPr>
        <w:t xml:space="preserve">Besson, </w:t>
      </w:r>
      <w:r w:rsidR="00EB605C" w:rsidRPr="005602A7">
        <w:rPr>
          <w:rFonts w:ascii="Garamond" w:hAnsi="Garamond"/>
          <w:i/>
          <w:iCs/>
        </w:rPr>
        <w:t>Sovereignty,</w:t>
      </w:r>
      <w:r w:rsidR="00EB605C" w:rsidRPr="005602A7">
        <w:rPr>
          <w:rFonts w:ascii="Garamond" w:hAnsi="Garamond"/>
        </w:rPr>
        <w:t xml:space="preserve"> </w:t>
      </w:r>
      <w:r w:rsidR="00F07709" w:rsidRPr="005602A7">
        <w:rPr>
          <w:rFonts w:ascii="Garamond" w:hAnsi="Garamond"/>
          <w:i/>
          <w:iCs/>
        </w:rPr>
        <w:t xml:space="preserve">supra </w:t>
      </w:r>
      <w:r w:rsidR="00F07709" w:rsidRPr="005602A7">
        <w:rPr>
          <w:rFonts w:ascii="Garamond" w:hAnsi="Garamond"/>
        </w:rPr>
        <w:t>note 18</w:t>
      </w:r>
      <w:r w:rsidR="006B71D5" w:rsidRPr="005602A7">
        <w:rPr>
          <w:rFonts w:ascii="Garamond" w:hAnsi="Garamond"/>
        </w:rPr>
        <w:t>.</w:t>
      </w:r>
      <w:r w:rsidRPr="005602A7">
        <w:rPr>
          <w:rFonts w:ascii="Garamond" w:hAnsi="Garamond"/>
        </w:rPr>
        <w:t xml:space="preserve"> </w:t>
      </w:r>
    </w:p>
  </w:footnote>
  <w:footnote w:id="50">
    <w:p w14:paraId="5648D544" w14:textId="16BA2CF6" w:rsidR="00DB7490" w:rsidRPr="005602A7" w:rsidRDefault="00DB7490" w:rsidP="001340AF">
      <w:pPr>
        <w:pStyle w:val="FootnoteText"/>
        <w:jc w:val="both"/>
        <w:rPr>
          <w:rFonts w:ascii="Garamond" w:hAnsi="Garamond"/>
        </w:rPr>
      </w:pPr>
      <w:r w:rsidRPr="005602A7">
        <w:rPr>
          <w:rStyle w:val="FootnoteReference"/>
          <w:rFonts w:ascii="Garamond" w:hAnsi="Garamond"/>
        </w:rPr>
        <w:footnoteRef/>
      </w:r>
      <w:r w:rsidR="00E708CB" w:rsidRPr="005602A7">
        <w:rPr>
          <w:rFonts w:ascii="Garamond" w:hAnsi="Garamond"/>
        </w:rPr>
        <w:t xml:space="preserve"> Jeremy</w:t>
      </w:r>
      <w:r w:rsidRPr="005602A7">
        <w:rPr>
          <w:rFonts w:ascii="Garamond" w:hAnsi="Garamond"/>
        </w:rPr>
        <w:t xml:space="preserve"> Waldron, </w:t>
      </w:r>
      <w:r w:rsidR="00E708CB" w:rsidRPr="005602A7">
        <w:rPr>
          <w:rFonts w:ascii="Garamond" w:hAnsi="Garamond"/>
          <w:i/>
          <w:iCs/>
        </w:rPr>
        <w:t>Are Sovereigns Entitled to the Benefit of the International Rule of Law</w:t>
      </w:r>
      <w:r w:rsidR="00E708CB" w:rsidRPr="005602A7">
        <w:rPr>
          <w:rFonts w:ascii="Garamond" w:hAnsi="Garamond"/>
        </w:rPr>
        <w:t>,</w:t>
      </w:r>
      <w:r w:rsidR="000D67AB" w:rsidRPr="005602A7">
        <w:rPr>
          <w:rFonts w:ascii="Garamond" w:hAnsi="Garamond"/>
        </w:rPr>
        <w:t xml:space="preserve"> 22(2)</w:t>
      </w:r>
      <w:r w:rsidR="00E708CB" w:rsidRPr="005602A7">
        <w:rPr>
          <w:rFonts w:ascii="Garamond" w:hAnsi="Garamond"/>
        </w:rPr>
        <w:t xml:space="preserve"> EJIL 316, </w:t>
      </w:r>
      <w:r w:rsidRPr="005602A7">
        <w:rPr>
          <w:rFonts w:ascii="Garamond" w:hAnsi="Garamond"/>
        </w:rPr>
        <w:t>341, 325</w:t>
      </w:r>
      <w:r w:rsidR="00E708CB" w:rsidRPr="005602A7">
        <w:rPr>
          <w:rFonts w:ascii="Garamond" w:hAnsi="Garamond"/>
        </w:rPr>
        <w:t>.</w:t>
      </w:r>
      <w:r w:rsidRPr="005602A7">
        <w:rPr>
          <w:rFonts w:ascii="Garamond" w:hAnsi="Garamond"/>
        </w:rPr>
        <w:t xml:space="preserve"> </w:t>
      </w:r>
    </w:p>
  </w:footnote>
  <w:footnote w:id="51">
    <w:p w14:paraId="7595F8E3" w14:textId="246441C5" w:rsidR="00E247B8" w:rsidRPr="005602A7" w:rsidRDefault="00E247B8"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F07709" w:rsidRPr="005602A7">
        <w:rPr>
          <w:rFonts w:ascii="Garamond" w:hAnsi="Garamond"/>
        </w:rPr>
        <w:t xml:space="preserve">Peters, </w:t>
      </w:r>
      <w:r w:rsidR="007A5E35" w:rsidRPr="005602A7">
        <w:rPr>
          <w:rFonts w:ascii="Garamond" w:hAnsi="Garamond"/>
          <w:i/>
          <w:iCs/>
        </w:rPr>
        <w:t>Humanity as the Alpha and Omega of Sovereignty</w:t>
      </w:r>
      <w:r w:rsidR="007A5E35" w:rsidRPr="005602A7">
        <w:rPr>
          <w:rFonts w:ascii="Garamond" w:hAnsi="Garamond"/>
        </w:rPr>
        <w:t xml:space="preserve">, </w:t>
      </w:r>
      <w:r w:rsidR="00F07709" w:rsidRPr="005602A7">
        <w:rPr>
          <w:rFonts w:ascii="Garamond" w:hAnsi="Garamond"/>
          <w:i/>
          <w:iCs/>
        </w:rPr>
        <w:t xml:space="preserve">supra </w:t>
      </w:r>
      <w:r w:rsidR="00F07709" w:rsidRPr="005602A7">
        <w:rPr>
          <w:rFonts w:ascii="Garamond" w:hAnsi="Garamond"/>
        </w:rPr>
        <w:t>note 41 at</w:t>
      </w:r>
      <w:r w:rsidRPr="005602A7">
        <w:rPr>
          <w:rFonts w:ascii="Garamond" w:hAnsi="Garamond"/>
        </w:rPr>
        <w:t xml:space="preserve"> </w:t>
      </w:r>
      <w:r w:rsidRPr="005602A7">
        <w:rPr>
          <w:rFonts w:ascii="Garamond" w:hAnsi="Garamond"/>
          <w:lang w:val="en-US"/>
        </w:rPr>
        <w:t xml:space="preserve">513; </w:t>
      </w:r>
      <w:r w:rsidRPr="005602A7">
        <w:rPr>
          <w:rFonts w:ascii="Garamond" w:hAnsi="Garamond"/>
        </w:rPr>
        <w:t>George</w:t>
      </w:r>
      <w:r w:rsidR="00703CCF" w:rsidRPr="005602A7">
        <w:rPr>
          <w:rFonts w:ascii="Garamond" w:hAnsi="Garamond"/>
        </w:rPr>
        <w:t xml:space="preserve"> </w:t>
      </w:r>
      <w:r w:rsidRPr="005602A7">
        <w:rPr>
          <w:rFonts w:ascii="Garamond" w:hAnsi="Garamond"/>
          <w:lang w:val="en-US"/>
        </w:rPr>
        <w:t xml:space="preserve">Duke, </w:t>
      </w:r>
      <w:r w:rsidRPr="005602A7">
        <w:rPr>
          <w:rFonts w:ascii="Garamond" w:hAnsi="Garamond"/>
          <w:i/>
          <w:iCs/>
          <w:lang w:val="en-US"/>
        </w:rPr>
        <w:t xml:space="preserve">Sovereignty and the Common Good, </w:t>
      </w:r>
      <w:r w:rsidRPr="005602A7">
        <w:rPr>
          <w:rFonts w:ascii="Garamond" w:hAnsi="Garamond"/>
          <w:lang w:val="en-US"/>
        </w:rPr>
        <w:t xml:space="preserve">17(1) ICON 66, 68 (2019); </w:t>
      </w:r>
      <w:proofErr w:type="spellStart"/>
      <w:r w:rsidRPr="005602A7">
        <w:rPr>
          <w:rFonts w:ascii="Garamond" w:hAnsi="Garamond"/>
          <w:smallCaps/>
        </w:rPr>
        <w:t>Zaum</w:t>
      </w:r>
      <w:proofErr w:type="spellEnd"/>
      <w:r w:rsidRPr="005602A7">
        <w:rPr>
          <w:rFonts w:ascii="Garamond" w:hAnsi="Garamond"/>
          <w:smallCaps/>
        </w:rPr>
        <w:t xml:space="preserve">, </w:t>
      </w:r>
      <w:r w:rsidR="00E87FDF" w:rsidRPr="005602A7">
        <w:rPr>
          <w:rFonts w:ascii="Garamond" w:hAnsi="Garamond"/>
        </w:rPr>
        <w:t>supra note 14 at</w:t>
      </w:r>
      <w:r w:rsidRPr="005602A7">
        <w:rPr>
          <w:rFonts w:ascii="Garamond" w:hAnsi="Garamond"/>
        </w:rPr>
        <w:t xml:space="preserve"> </w:t>
      </w:r>
      <w:r w:rsidRPr="005602A7">
        <w:rPr>
          <w:rFonts w:ascii="Garamond" w:hAnsi="Garamond"/>
          <w:lang w:val="en-US"/>
        </w:rPr>
        <w:t xml:space="preserve">36; </w:t>
      </w:r>
      <w:r w:rsidRPr="005602A7">
        <w:rPr>
          <w:rFonts w:ascii="Garamond" w:hAnsi="Garamond"/>
        </w:rPr>
        <w:t>Waldron,</w:t>
      </w:r>
      <w:r w:rsidR="004E06CC" w:rsidRPr="005602A7">
        <w:rPr>
          <w:rFonts w:ascii="Garamond" w:hAnsi="Garamond"/>
        </w:rPr>
        <w:t xml:space="preserve"> </w:t>
      </w:r>
      <w:r w:rsidR="004E06CC" w:rsidRPr="005602A7">
        <w:rPr>
          <w:rFonts w:ascii="Garamond" w:hAnsi="Garamond"/>
          <w:i/>
          <w:iCs/>
        </w:rPr>
        <w:t>Are Sovereigns Entitled to the Benefit of the International Rule of Law,</w:t>
      </w:r>
      <w:r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 xml:space="preserve">note 49 </w:t>
      </w:r>
      <w:r w:rsidRPr="005602A7">
        <w:rPr>
          <w:rFonts w:ascii="Garamond" w:hAnsi="Garamond"/>
          <w:lang w:val="en-US"/>
        </w:rPr>
        <w:t xml:space="preserve">at 328. </w:t>
      </w:r>
    </w:p>
  </w:footnote>
  <w:footnote w:id="52">
    <w:p w14:paraId="432A67DF" w14:textId="31E7FE08" w:rsidR="00DB7490" w:rsidRPr="005602A7" w:rsidRDefault="00DB7490"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03CCF" w:rsidRPr="005602A7">
        <w:rPr>
          <w:rFonts w:ascii="Garamond" w:hAnsi="Garamond"/>
        </w:rPr>
        <w:t xml:space="preserve">Waldron, </w:t>
      </w:r>
      <w:r w:rsidR="004E06CC" w:rsidRPr="005602A7">
        <w:rPr>
          <w:rFonts w:ascii="Garamond" w:hAnsi="Garamond"/>
          <w:i/>
          <w:iCs/>
        </w:rPr>
        <w:t xml:space="preserve">Are Sovereigns Entitled to the Benefit of the International Rule of Law, </w:t>
      </w:r>
      <w:r w:rsidR="00703CCF" w:rsidRPr="005602A7">
        <w:rPr>
          <w:rFonts w:ascii="Garamond" w:hAnsi="Garamond"/>
          <w:i/>
          <w:iCs/>
        </w:rPr>
        <w:t xml:space="preserve">supra </w:t>
      </w:r>
      <w:r w:rsidR="00703CCF" w:rsidRPr="005602A7">
        <w:rPr>
          <w:rFonts w:ascii="Garamond" w:hAnsi="Garamond"/>
        </w:rPr>
        <w:t xml:space="preserve">note 49 </w:t>
      </w:r>
      <w:r w:rsidR="00703CCF" w:rsidRPr="005602A7">
        <w:rPr>
          <w:rFonts w:ascii="Garamond" w:hAnsi="Garamond"/>
          <w:lang w:val="en-US"/>
        </w:rPr>
        <w:t>at</w:t>
      </w:r>
      <w:r w:rsidR="00703CCF" w:rsidRPr="005602A7">
        <w:rPr>
          <w:rFonts w:ascii="Garamond" w:hAnsi="Garamond"/>
        </w:rPr>
        <w:t xml:space="preserve"> </w:t>
      </w:r>
      <w:r w:rsidRPr="005602A7">
        <w:rPr>
          <w:rFonts w:ascii="Garamond" w:hAnsi="Garamond"/>
        </w:rPr>
        <w:t>326</w:t>
      </w:r>
      <w:r w:rsidR="00E247B8" w:rsidRPr="005602A7">
        <w:rPr>
          <w:rFonts w:ascii="Garamond" w:hAnsi="Garamond"/>
        </w:rPr>
        <w:t xml:space="preserve">; Fox-Decent and Dahlman argue that IL now recognizes the sovereignty of indigenous communities (see Evan Fox-Decent and Ian </w:t>
      </w:r>
      <w:proofErr w:type="spellStart"/>
      <w:r w:rsidR="00E247B8" w:rsidRPr="005602A7">
        <w:rPr>
          <w:rFonts w:ascii="Garamond" w:hAnsi="Garamond"/>
        </w:rPr>
        <w:t>Dalhman</w:t>
      </w:r>
      <w:proofErr w:type="spellEnd"/>
      <w:r w:rsidR="00E247B8" w:rsidRPr="005602A7">
        <w:rPr>
          <w:rFonts w:ascii="Garamond" w:hAnsi="Garamond"/>
        </w:rPr>
        <w:t xml:space="preserve">, </w:t>
      </w:r>
      <w:r w:rsidR="00E247B8" w:rsidRPr="005602A7">
        <w:rPr>
          <w:rFonts w:ascii="Garamond" w:hAnsi="Garamond"/>
          <w:i/>
          <w:iCs/>
        </w:rPr>
        <w:t>Sovereignty as Trusteeship and Indigenous Peoples</w:t>
      </w:r>
      <w:r w:rsidR="00E247B8" w:rsidRPr="005602A7">
        <w:rPr>
          <w:rFonts w:ascii="Garamond" w:hAnsi="Garamond"/>
        </w:rPr>
        <w:t xml:space="preserve">, 16(2) </w:t>
      </w:r>
      <w:r w:rsidR="00E247B8" w:rsidRPr="005602A7">
        <w:rPr>
          <w:rFonts w:ascii="Garamond" w:hAnsi="Garamond"/>
          <w:smallCaps/>
        </w:rPr>
        <w:t>Theoretical Inquiries in Law</w:t>
      </w:r>
      <w:r w:rsidR="00E247B8" w:rsidRPr="005602A7">
        <w:rPr>
          <w:rFonts w:ascii="Garamond" w:hAnsi="Garamond"/>
        </w:rPr>
        <w:t xml:space="preserve"> (2015)). For the purposes of this paper, I look at state sovereignty alone, without taking a position on whether sovereignty can be divorced from state structures.</w:t>
      </w:r>
    </w:p>
  </w:footnote>
  <w:footnote w:id="53">
    <w:p w14:paraId="0D4402C2" w14:textId="21D33E9C" w:rsidR="003E5079" w:rsidRPr="005602A7" w:rsidRDefault="003E507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BB36C9" w:rsidRPr="005602A7">
        <w:rPr>
          <w:rFonts w:ascii="Garamond" w:hAnsi="Garamond"/>
        </w:rPr>
        <w:t xml:space="preserve">David </w:t>
      </w:r>
      <w:proofErr w:type="spellStart"/>
      <w:r w:rsidR="00BB36C9" w:rsidRPr="005602A7">
        <w:rPr>
          <w:rFonts w:ascii="Garamond" w:hAnsi="Garamond"/>
        </w:rPr>
        <w:t>Dyzenhaus</w:t>
      </w:r>
      <w:proofErr w:type="spellEnd"/>
      <w:r w:rsidR="00BB36C9" w:rsidRPr="005602A7">
        <w:rPr>
          <w:rFonts w:ascii="Garamond" w:hAnsi="Garamond"/>
        </w:rPr>
        <w:t xml:space="preserve">, </w:t>
      </w:r>
      <w:r w:rsidR="00BB36C9" w:rsidRPr="005602A7">
        <w:rPr>
          <w:rFonts w:ascii="Garamond" w:hAnsi="Garamond"/>
          <w:i/>
          <w:iCs/>
        </w:rPr>
        <w:t>Kelsen, Heller and Sc</w:t>
      </w:r>
      <w:r w:rsidR="004E06CC" w:rsidRPr="005602A7">
        <w:rPr>
          <w:rFonts w:ascii="Garamond" w:hAnsi="Garamond"/>
          <w:i/>
          <w:iCs/>
        </w:rPr>
        <w:t>h</w:t>
      </w:r>
      <w:r w:rsidR="00BB36C9" w:rsidRPr="005602A7">
        <w:rPr>
          <w:rFonts w:ascii="Garamond" w:hAnsi="Garamond"/>
          <w:i/>
          <w:iCs/>
        </w:rPr>
        <w:t>mitt: Paradigms of Sovereignty Thought</w:t>
      </w:r>
      <w:r w:rsidR="00BB36C9" w:rsidRPr="005602A7">
        <w:rPr>
          <w:rFonts w:ascii="Garamond" w:hAnsi="Garamond"/>
        </w:rPr>
        <w:t xml:space="preserve">, </w:t>
      </w:r>
      <w:r w:rsidR="000D67AB" w:rsidRPr="005602A7">
        <w:rPr>
          <w:rFonts w:ascii="Garamond" w:hAnsi="Garamond"/>
        </w:rPr>
        <w:t xml:space="preserve">16(2) </w:t>
      </w:r>
      <w:r w:rsidR="000D67AB" w:rsidRPr="005602A7">
        <w:rPr>
          <w:rFonts w:ascii="Garamond" w:hAnsi="Garamond"/>
          <w:smallCaps/>
        </w:rPr>
        <w:t>Theoretical Inquiries in Law</w:t>
      </w:r>
      <w:r w:rsidR="000D67AB" w:rsidRPr="005602A7">
        <w:rPr>
          <w:rFonts w:ascii="Garamond" w:hAnsi="Garamond"/>
        </w:rPr>
        <w:t xml:space="preserve"> 361 (2015)</w:t>
      </w:r>
      <w:r w:rsidR="00BB36C9" w:rsidRPr="005602A7">
        <w:rPr>
          <w:rFonts w:ascii="Garamond" w:hAnsi="Garamond"/>
        </w:rPr>
        <w:t>.</w:t>
      </w:r>
      <w:r w:rsidRPr="005602A7">
        <w:rPr>
          <w:rFonts w:ascii="Garamond" w:hAnsi="Garamond"/>
        </w:rPr>
        <w:t xml:space="preserve"> </w:t>
      </w:r>
    </w:p>
  </w:footnote>
  <w:footnote w:id="54">
    <w:p w14:paraId="11EE8B5D" w14:textId="2B27BD9B" w:rsidR="006B0342" w:rsidRPr="005602A7" w:rsidRDefault="006B0342"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EB605C" w:rsidRPr="005602A7">
        <w:rPr>
          <w:rFonts w:ascii="Garamond" w:hAnsi="Garamond"/>
        </w:rPr>
        <w:t xml:space="preserve">Besson, </w:t>
      </w:r>
      <w:r w:rsidR="00EB605C" w:rsidRPr="005602A7">
        <w:rPr>
          <w:rFonts w:ascii="Garamond" w:hAnsi="Garamond"/>
          <w:i/>
          <w:iCs/>
        </w:rPr>
        <w:t>Sovereignty in Conflict</w:t>
      </w:r>
      <w:r w:rsidR="00EB605C" w:rsidRPr="005602A7">
        <w:rPr>
          <w:rFonts w:ascii="Garamond" w:hAnsi="Garamond"/>
        </w:rPr>
        <w:t>,</w:t>
      </w:r>
      <w:r w:rsidR="00484017" w:rsidRPr="005602A7">
        <w:rPr>
          <w:rFonts w:ascii="Garamond" w:hAnsi="Garamond"/>
        </w:rPr>
        <w:t xml:space="preserve"> </w:t>
      </w:r>
      <w:r w:rsidR="0011737E" w:rsidRPr="005602A7">
        <w:rPr>
          <w:rFonts w:ascii="Garamond" w:hAnsi="Garamond"/>
          <w:i/>
          <w:iCs/>
        </w:rPr>
        <w:t xml:space="preserve">supra </w:t>
      </w:r>
      <w:r w:rsidR="0011737E" w:rsidRPr="005602A7">
        <w:rPr>
          <w:rFonts w:ascii="Garamond" w:hAnsi="Garamond"/>
        </w:rPr>
        <w:t>note 12</w:t>
      </w:r>
      <w:r w:rsidR="00EB605C" w:rsidRPr="005602A7">
        <w:rPr>
          <w:rFonts w:ascii="Garamond" w:hAnsi="Garamond"/>
        </w:rPr>
        <w:t xml:space="preserve"> at 147</w:t>
      </w:r>
      <w:r w:rsidR="001A4F96" w:rsidRPr="005602A7">
        <w:rPr>
          <w:rFonts w:ascii="Garamond" w:hAnsi="Garamond"/>
        </w:rPr>
        <w:t xml:space="preserve">; </w:t>
      </w:r>
      <w:r w:rsidR="00324257" w:rsidRPr="005602A7">
        <w:rPr>
          <w:rFonts w:ascii="Garamond" w:hAnsi="Garamond"/>
        </w:rPr>
        <w:t xml:space="preserve">and </w:t>
      </w:r>
      <w:proofErr w:type="spellStart"/>
      <w:r w:rsidR="00712ED8" w:rsidRPr="005602A7">
        <w:rPr>
          <w:rFonts w:ascii="Garamond" w:hAnsi="Garamond"/>
        </w:rPr>
        <w:t>Sarooshi</w:t>
      </w:r>
      <w:proofErr w:type="spellEnd"/>
      <w:r w:rsidR="00712ED8" w:rsidRPr="005602A7">
        <w:rPr>
          <w:rFonts w:ascii="Garamond" w:hAnsi="Garamond"/>
        </w:rPr>
        <w:t xml:space="preserve">, </w:t>
      </w:r>
      <w:r w:rsidR="004E06CC" w:rsidRPr="005602A7">
        <w:rPr>
          <w:rFonts w:ascii="Garamond" w:hAnsi="Garamond"/>
          <w:i/>
          <w:iCs/>
        </w:rPr>
        <w:t xml:space="preserve">The Essentially Contested Nature of the Concept of Sovereignty, </w:t>
      </w:r>
      <w:r w:rsidR="00E87FDF" w:rsidRPr="005602A7">
        <w:rPr>
          <w:rFonts w:ascii="Garamond" w:hAnsi="Garamond"/>
          <w:i/>
          <w:iCs/>
        </w:rPr>
        <w:t xml:space="preserve">supra </w:t>
      </w:r>
      <w:r w:rsidR="00E87FDF" w:rsidRPr="005602A7">
        <w:rPr>
          <w:rFonts w:ascii="Garamond" w:hAnsi="Garamond"/>
        </w:rPr>
        <w:t xml:space="preserve">note 42. </w:t>
      </w:r>
    </w:p>
  </w:footnote>
  <w:footnote w:id="55">
    <w:p w14:paraId="1E4994CD" w14:textId="77B7E492" w:rsidR="00D66006" w:rsidRPr="005602A7" w:rsidRDefault="00D66006"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A03597" w:rsidRPr="005602A7">
        <w:rPr>
          <w:rFonts w:ascii="Garamond" w:hAnsi="Garamond"/>
        </w:rPr>
        <w:t xml:space="preserve">For </w:t>
      </w:r>
      <w:r w:rsidRPr="005602A7">
        <w:rPr>
          <w:rFonts w:ascii="Garamond" w:hAnsi="Garamond"/>
        </w:rPr>
        <w:t>a discussion of value of concepts v</w:t>
      </w:r>
      <w:r w:rsidR="00A03597" w:rsidRPr="005602A7">
        <w:rPr>
          <w:rFonts w:ascii="Garamond" w:hAnsi="Garamond"/>
        </w:rPr>
        <w:t>ersus</w:t>
      </w:r>
      <w:r w:rsidRPr="005602A7">
        <w:rPr>
          <w:rFonts w:ascii="Garamond" w:hAnsi="Garamond"/>
        </w:rPr>
        <w:t xml:space="preserve"> theories of justification for norms within </w:t>
      </w:r>
      <w:r w:rsidR="00A03597" w:rsidRPr="005602A7">
        <w:rPr>
          <w:rFonts w:ascii="Garamond" w:hAnsi="Garamond"/>
        </w:rPr>
        <w:t>international law, see Da</w:t>
      </w:r>
      <w:r w:rsidR="000D67AB" w:rsidRPr="005602A7">
        <w:rPr>
          <w:rFonts w:ascii="Garamond" w:hAnsi="Garamond"/>
        </w:rPr>
        <w:t>vid</w:t>
      </w:r>
      <w:r w:rsidR="00A03597" w:rsidRPr="005602A7">
        <w:rPr>
          <w:rFonts w:ascii="Garamond" w:hAnsi="Garamond"/>
        </w:rPr>
        <w:t xml:space="preserve"> Lefkowitz, </w:t>
      </w:r>
      <w:r w:rsidR="005F4F32" w:rsidRPr="005602A7">
        <w:rPr>
          <w:rFonts w:ascii="Garamond" w:hAnsi="Garamond"/>
          <w:i/>
          <w:iCs/>
        </w:rPr>
        <w:t xml:space="preserve">International Law, Institutional Moral Reasoning and Secession, </w:t>
      </w:r>
      <w:r w:rsidR="000D67AB" w:rsidRPr="005602A7">
        <w:rPr>
          <w:rFonts w:ascii="Garamond" w:hAnsi="Garamond"/>
        </w:rPr>
        <w:t xml:space="preserve">37(4) </w:t>
      </w:r>
      <w:r w:rsidR="00A03597" w:rsidRPr="005602A7">
        <w:rPr>
          <w:rFonts w:ascii="Garamond" w:hAnsi="Garamond"/>
        </w:rPr>
        <w:t>Law and Philosophy</w:t>
      </w:r>
      <w:r w:rsidR="000D67AB" w:rsidRPr="005602A7">
        <w:rPr>
          <w:rFonts w:ascii="Garamond" w:hAnsi="Garamond"/>
        </w:rPr>
        <w:t xml:space="preserve"> 385</w:t>
      </w:r>
      <w:r w:rsidR="00A03597" w:rsidRPr="005602A7">
        <w:rPr>
          <w:rFonts w:ascii="Garamond" w:hAnsi="Garamond"/>
        </w:rPr>
        <w:t xml:space="preserve"> (Aug</w:t>
      </w:r>
      <w:r w:rsidR="000D67AB" w:rsidRPr="005602A7">
        <w:rPr>
          <w:rFonts w:ascii="Garamond" w:hAnsi="Garamond"/>
        </w:rPr>
        <w:t>.</w:t>
      </w:r>
      <w:r w:rsidR="00A03597" w:rsidRPr="005602A7">
        <w:rPr>
          <w:rFonts w:ascii="Garamond" w:hAnsi="Garamond"/>
        </w:rPr>
        <w:t xml:space="preserve"> 2018)</w:t>
      </w:r>
      <w:r w:rsidR="008F4DFD" w:rsidRPr="005602A7">
        <w:rPr>
          <w:rFonts w:ascii="Garamond" w:hAnsi="Garamond"/>
        </w:rPr>
        <w:t xml:space="preserve">; see </w:t>
      </w:r>
      <w:r w:rsidR="00A03597" w:rsidRPr="005602A7">
        <w:rPr>
          <w:rFonts w:ascii="Garamond" w:hAnsi="Garamond"/>
        </w:rPr>
        <w:t xml:space="preserve">also </w:t>
      </w:r>
      <w:proofErr w:type="spellStart"/>
      <w:r w:rsidR="002F6DA0" w:rsidRPr="005602A7">
        <w:rPr>
          <w:rFonts w:ascii="Garamond" w:hAnsi="Garamond"/>
        </w:rPr>
        <w:t>Dyzenhaus</w:t>
      </w:r>
      <w:proofErr w:type="spellEnd"/>
      <w:r w:rsidR="002F6DA0"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 xml:space="preserve">note 52 </w:t>
      </w:r>
      <w:r w:rsidR="00BB36C9" w:rsidRPr="005602A7">
        <w:rPr>
          <w:rFonts w:ascii="Garamond" w:hAnsi="Garamond"/>
        </w:rPr>
        <w:t xml:space="preserve">at </w:t>
      </w:r>
      <w:r w:rsidR="002C74D4" w:rsidRPr="005602A7">
        <w:rPr>
          <w:rFonts w:ascii="Garamond" w:hAnsi="Garamond"/>
        </w:rPr>
        <w:t>362</w:t>
      </w:r>
      <w:r w:rsidR="00BB36C9" w:rsidRPr="005602A7">
        <w:rPr>
          <w:rFonts w:ascii="Garamond" w:hAnsi="Garamond"/>
        </w:rPr>
        <w:t>.</w:t>
      </w:r>
      <w:r w:rsidR="002C74D4" w:rsidRPr="005602A7">
        <w:rPr>
          <w:rFonts w:ascii="Garamond" w:hAnsi="Garamond"/>
        </w:rPr>
        <w:t xml:space="preserve"> </w:t>
      </w:r>
    </w:p>
  </w:footnote>
  <w:footnote w:id="56">
    <w:p w14:paraId="1C694A44" w14:textId="072E0362" w:rsidR="00FA045E" w:rsidRPr="005602A7" w:rsidRDefault="00FA045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46A9E" w:rsidRPr="005602A7">
        <w:rPr>
          <w:rFonts w:ascii="Garamond" w:hAnsi="Garamond"/>
        </w:rPr>
        <w:t xml:space="preserve">Timothy </w:t>
      </w:r>
      <w:r w:rsidRPr="005602A7">
        <w:rPr>
          <w:rFonts w:ascii="Garamond" w:hAnsi="Garamond"/>
        </w:rPr>
        <w:t>Endicott</w:t>
      </w:r>
      <w:r w:rsidR="00746A9E" w:rsidRPr="005602A7">
        <w:rPr>
          <w:rFonts w:ascii="Garamond" w:hAnsi="Garamond"/>
        </w:rPr>
        <w:t xml:space="preserve">, </w:t>
      </w:r>
      <w:r w:rsidR="00090C85" w:rsidRPr="005602A7">
        <w:rPr>
          <w:rFonts w:ascii="Garamond" w:hAnsi="Garamond"/>
          <w:i/>
          <w:iCs/>
        </w:rPr>
        <w:t>The Logic of Freedom and Power</w:t>
      </w:r>
      <w:r w:rsidR="005F4F32" w:rsidRPr="005602A7">
        <w:rPr>
          <w:rFonts w:ascii="Garamond" w:hAnsi="Garamond"/>
          <w:i/>
          <w:iCs/>
        </w:rPr>
        <w:t>,</w:t>
      </w:r>
      <w:r w:rsidRPr="005602A7">
        <w:rPr>
          <w:rFonts w:ascii="Garamond" w:hAnsi="Garamond"/>
        </w:rPr>
        <w:t xml:space="preserve"> </w:t>
      </w:r>
      <w:r w:rsidR="00090C85" w:rsidRPr="005602A7">
        <w:rPr>
          <w:rFonts w:ascii="Garamond" w:hAnsi="Garamond"/>
          <w:i/>
          <w:iCs/>
        </w:rPr>
        <w:t>in</w:t>
      </w:r>
      <w:r w:rsidR="00090C85" w:rsidRPr="005602A7">
        <w:rPr>
          <w:rFonts w:ascii="Garamond" w:hAnsi="Garamond"/>
        </w:rPr>
        <w:t xml:space="preserve"> </w:t>
      </w:r>
      <w:r w:rsidR="002174A4" w:rsidRPr="005602A7">
        <w:rPr>
          <w:rFonts w:ascii="Garamond" w:hAnsi="Garamond"/>
          <w:smallCaps/>
        </w:rPr>
        <w:t>The Philosophy of International Law</w:t>
      </w:r>
      <w:r w:rsidR="002174A4" w:rsidRPr="005602A7">
        <w:rPr>
          <w:rFonts w:ascii="Garamond" w:hAnsi="Garamond"/>
        </w:rPr>
        <w:t>, (Besson and Tasioulas, eds</w:t>
      </w:r>
      <w:r w:rsidR="005F4F32" w:rsidRPr="005602A7">
        <w:rPr>
          <w:rFonts w:ascii="Garamond" w:hAnsi="Garamond"/>
        </w:rPr>
        <w:t>, OUP 2010) 255</w:t>
      </w:r>
      <w:r w:rsidR="002174A4" w:rsidRPr="005602A7">
        <w:rPr>
          <w:rFonts w:ascii="Garamond" w:hAnsi="Garamond"/>
        </w:rPr>
        <w:t xml:space="preserve">. </w:t>
      </w:r>
    </w:p>
  </w:footnote>
  <w:footnote w:id="57">
    <w:p w14:paraId="0E52C296" w14:textId="0DF08BD5" w:rsidR="00FA045E" w:rsidRPr="005602A7" w:rsidRDefault="00FA045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B605C" w:rsidRPr="005602A7">
        <w:rPr>
          <w:rFonts w:ascii="Garamond" w:hAnsi="Garamond"/>
        </w:rPr>
        <w:t xml:space="preserve">Besson, </w:t>
      </w:r>
      <w:r w:rsidR="00EB605C" w:rsidRPr="005602A7">
        <w:rPr>
          <w:rFonts w:ascii="Garamond" w:hAnsi="Garamond"/>
          <w:i/>
          <w:iCs/>
        </w:rPr>
        <w:t>Sovereignty in Conflict</w:t>
      </w:r>
      <w:r w:rsidR="00EB605C" w:rsidRPr="005602A7">
        <w:rPr>
          <w:rFonts w:ascii="Garamond" w:hAnsi="Garamond"/>
        </w:rPr>
        <w:t xml:space="preserve">, </w:t>
      </w:r>
      <w:r w:rsidR="0011737E" w:rsidRPr="005602A7">
        <w:rPr>
          <w:rFonts w:ascii="Garamond" w:hAnsi="Garamond"/>
          <w:i/>
          <w:iCs/>
        </w:rPr>
        <w:t xml:space="preserve">supra </w:t>
      </w:r>
      <w:r w:rsidR="0011737E" w:rsidRPr="005602A7">
        <w:rPr>
          <w:rFonts w:ascii="Garamond" w:hAnsi="Garamond"/>
        </w:rPr>
        <w:t>note 12</w:t>
      </w:r>
      <w:r w:rsidR="00EB605C" w:rsidRPr="005602A7">
        <w:rPr>
          <w:rFonts w:ascii="Garamond" w:hAnsi="Garamond"/>
        </w:rPr>
        <w:t xml:space="preserve"> at 147</w:t>
      </w:r>
      <w:r w:rsidRPr="005602A7">
        <w:rPr>
          <w:rFonts w:ascii="Garamond" w:hAnsi="Garamond"/>
          <w:lang w:val="en-US"/>
        </w:rPr>
        <w:t xml:space="preserve">; </w:t>
      </w:r>
      <w:proofErr w:type="spellStart"/>
      <w:r w:rsidR="00712ED8" w:rsidRPr="005602A7">
        <w:rPr>
          <w:rFonts w:ascii="Garamond" w:hAnsi="Garamond"/>
        </w:rPr>
        <w:t>Sarooshi</w:t>
      </w:r>
      <w:proofErr w:type="spellEnd"/>
      <w:r w:rsidR="00712ED8" w:rsidRPr="005602A7">
        <w:rPr>
          <w:rFonts w:ascii="Garamond" w:hAnsi="Garamond"/>
        </w:rPr>
        <w:t xml:space="preserve">, </w:t>
      </w:r>
      <w:r w:rsidR="004E06CC" w:rsidRPr="005602A7">
        <w:rPr>
          <w:rFonts w:ascii="Garamond" w:hAnsi="Garamond"/>
          <w:i/>
          <w:iCs/>
        </w:rPr>
        <w:t xml:space="preserve">The Essentially Contested Nature of the Concept of Sovereignty, </w:t>
      </w:r>
      <w:r w:rsidR="00E87FDF" w:rsidRPr="005602A7">
        <w:rPr>
          <w:rFonts w:ascii="Garamond" w:hAnsi="Garamond"/>
          <w:i/>
          <w:iCs/>
        </w:rPr>
        <w:t xml:space="preserve">supra </w:t>
      </w:r>
      <w:r w:rsidR="00E87FDF" w:rsidRPr="005602A7">
        <w:rPr>
          <w:rFonts w:ascii="Garamond" w:hAnsi="Garamond"/>
        </w:rPr>
        <w:t xml:space="preserve">note 42 </w:t>
      </w:r>
      <w:r w:rsidR="00324257" w:rsidRPr="005602A7">
        <w:rPr>
          <w:rFonts w:ascii="Garamond" w:hAnsi="Garamond"/>
        </w:rPr>
        <w:t xml:space="preserve">at </w:t>
      </w:r>
      <w:r w:rsidRPr="005602A7">
        <w:rPr>
          <w:rFonts w:ascii="Garamond" w:hAnsi="Garamond"/>
          <w:lang w:val="en-US"/>
        </w:rPr>
        <w:t>1115</w:t>
      </w:r>
    </w:p>
  </w:footnote>
  <w:footnote w:id="58">
    <w:p w14:paraId="17FFAA98" w14:textId="01ECBAB8" w:rsidR="00FA045E" w:rsidRPr="005602A7" w:rsidRDefault="00FA045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703CCF" w:rsidRPr="005602A7">
        <w:rPr>
          <w:rFonts w:ascii="Garamond" w:hAnsi="Garamond"/>
        </w:rPr>
        <w:t>Duke,</w:t>
      </w:r>
      <w:r w:rsidR="004E06CC" w:rsidRPr="005602A7">
        <w:rPr>
          <w:rFonts w:ascii="Garamond" w:hAnsi="Garamond"/>
        </w:rPr>
        <w:t xml:space="preserve"> </w:t>
      </w:r>
      <w:r w:rsidR="004E06CC" w:rsidRPr="005602A7">
        <w:rPr>
          <w:rFonts w:ascii="Garamond" w:hAnsi="Garamond"/>
          <w:i/>
          <w:iCs/>
          <w:lang w:val="en-US"/>
        </w:rPr>
        <w:t>Sovereignty and the Common Good,</w:t>
      </w:r>
      <w:r w:rsidR="00703CCF"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 xml:space="preserve">note 50 </w:t>
      </w:r>
      <w:r w:rsidR="00703CCF" w:rsidRPr="005602A7">
        <w:rPr>
          <w:rFonts w:ascii="Garamond" w:hAnsi="Garamond"/>
          <w:lang w:val="en-US"/>
        </w:rPr>
        <w:t xml:space="preserve">at </w:t>
      </w:r>
      <w:r w:rsidRPr="005602A7">
        <w:rPr>
          <w:rFonts w:ascii="Garamond" w:hAnsi="Garamond"/>
          <w:lang w:val="en-US"/>
        </w:rPr>
        <w:t>79</w:t>
      </w:r>
      <w:r w:rsidR="004949CD" w:rsidRPr="005602A7">
        <w:rPr>
          <w:rFonts w:ascii="Garamond" w:hAnsi="Garamond"/>
          <w:lang w:val="en-US"/>
        </w:rPr>
        <w:t>.</w:t>
      </w:r>
      <w:r w:rsidRPr="005602A7">
        <w:rPr>
          <w:rFonts w:ascii="Garamond" w:hAnsi="Garamond"/>
          <w:lang w:val="en-US"/>
        </w:rPr>
        <w:t xml:space="preserve"> </w:t>
      </w:r>
    </w:p>
  </w:footnote>
  <w:footnote w:id="59">
    <w:p w14:paraId="4640423D" w14:textId="4E4FD91B" w:rsidR="00FA045E" w:rsidRPr="005602A7" w:rsidRDefault="00FA045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67402B" w:rsidRPr="005602A7">
        <w:rPr>
          <w:rFonts w:ascii="Garamond" w:hAnsi="Garamond"/>
        </w:rPr>
        <w:t xml:space="preserve">Michael Reisman, </w:t>
      </w:r>
      <w:r w:rsidR="0067402B" w:rsidRPr="005602A7">
        <w:rPr>
          <w:rFonts w:ascii="Garamond" w:hAnsi="Garamond"/>
          <w:i/>
        </w:rPr>
        <w:t>Sovereignty and Human Rights in Contemporary International Law</w:t>
      </w:r>
      <w:r w:rsidR="0067402B" w:rsidRPr="005602A7">
        <w:rPr>
          <w:rFonts w:ascii="Garamond" w:hAnsi="Garamond"/>
        </w:rPr>
        <w:t xml:space="preserve">, </w:t>
      </w:r>
      <w:r w:rsidR="003B3824" w:rsidRPr="005602A7">
        <w:rPr>
          <w:rFonts w:ascii="Garamond" w:hAnsi="Garamond"/>
        </w:rPr>
        <w:t xml:space="preserve">84(4) </w:t>
      </w:r>
      <w:r w:rsidR="0067402B" w:rsidRPr="005602A7">
        <w:rPr>
          <w:rFonts w:ascii="Garamond" w:hAnsi="Garamond"/>
          <w:smallCaps/>
        </w:rPr>
        <w:t>The American Journal of International Law,</w:t>
      </w:r>
      <w:r w:rsidR="0067402B" w:rsidRPr="005602A7">
        <w:rPr>
          <w:rFonts w:ascii="Garamond" w:hAnsi="Garamond"/>
        </w:rPr>
        <w:t xml:space="preserve"> 866</w:t>
      </w:r>
      <w:r w:rsidR="00545A29" w:rsidRPr="005602A7">
        <w:rPr>
          <w:rFonts w:ascii="Garamond" w:hAnsi="Garamond"/>
        </w:rPr>
        <w:t xml:space="preserve"> </w:t>
      </w:r>
      <w:r w:rsidR="003B3824" w:rsidRPr="005602A7">
        <w:rPr>
          <w:rFonts w:ascii="Garamond" w:hAnsi="Garamond"/>
        </w:rPr>
        <w:t>(1990)</w:t>
      </w:r>
      <w:r w:rsidR="00A300B8" w:rsidRPr="005602A7">
        <w:rPr>
          <w:rFonts w:ascii="Garamond" w:hAnsi="Garamond"/>
        </w:rPr>
        <w:t>.</w:t>
      </w:r>
    </w:p>
  </w:footnote>
  <w:footnote w:id="60">
    <w:p w14:paraId="2A3A00C4" w14:textId="3D4B5077" w:rsidR="00FA045E" w:rsidRPr="005602A7" w:rsidRDefault="00FA045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445E08" w:rsidRPr="005602A7">
        <w:rPr>
          <w:rFonts w:ascii="Garamond" w:hAnsi="Garamond"/>
        </w:rPr>
        <w:t xml:space="preserve">Endicott, </w:t>
      </w:r>
      <w:r w:rsidR="00BA5177" w:rsidRPr="005602A7">
        <w:rPr>
          <w:rFonts w:ascii="Garamond" w:hAnsi="Garamond"/>
          <w:i/>
          <w:iCs/>
        </w:rPr>
        <w:t>The Logic of Freedom and Power,</w:t>
      </w:r>
      <w:r w:rsidR="00BA5177"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 xml:space="preserve">note 55 at </w:t>
      </w:r>
      <w:r w:rsidRPr="005602A7">
        <w:rPr>
          <w:rFonts w:ascii="Garamond" w:hAnsi="Garamond"/>
        </w:rPr>
        <w:t>255</w:t>
      </w:r>
      <w:r w:rsidR="0067402B" w:rsidRPr="005602A7">
        <w:rPr>
          <w:rFonts w:ascii="Garamond" w:hAnsi="Garamond"/>
        </w:rPr>
        <w:t>.</w:t>
      </w:r>
    </w:p>
  </w:footnote>
  <w:footnote w:id="61">
    <w:p w14:paraId="2CBCF459" w14:textId="176291E0" w:rsidR="003B5118" w:rsidRPr="005602A7" w:rsidRDefault="003B5118"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D42724" w:rsidRPr="005602A7">
        <w:rPr>
          <w:rFonts w:ascii="Garamond" w:hAnsi="Garamond"/>
          <w:smallCaps/>
        </w:rPr>
        <w:t>Zaum</w:t>
      </w:r>
      <w:proofErr w:type="spellEnd"/>
      <w:r w:rsidR="00D42724" w:rsidRPr="005602A7">
        <w:rPr>
          <w:rFonts w:ascii="Garamond" w:hAnsi="Garamond"/>
          <w:smallCaps/>
        </w:rPr>
        <w:t>,</w:t>
      </w:r>
      <w:r w:rsidR="00E87FDF" w:rsidRPr="005602A7">
        <w:rPr>
          <w:rFonts w:ascii="Garamond" w:hAnsi="Garamond"/>
          <w:smallCaps/>
        </w:rPr>
        <w:t xml:space="preserve"> </w:t>
      </w:r>
      <w:r w:rsidR="00E87FDF" w:rsidRPr="005602A7">
        <w:rPr>
          <w:rFonts w:ascii="Garamond" w:hAnsi="Garamond"/>
          <w:i/>
          <w:iCs/>
        </w:rPr>
        <w:t>supra</w:t>
      </w:r>
      <w:r w:rsidR="00E87FDF" w:rsidRPr="005602A7">
        <w:rPr>
          <w:rFonts w:ascii="Garamond" w:hAnsi="Garamond"/>
          <w:i/>
          <w:iCs/>
          <w:smallCaps/>
        </w:rPr>
        <w:t xml:space="preserve"> </w:t>
      </w:r>
      <w:r w:rsidR="00E87FDF" w:rsidRPr="005602A7">
        <w:rPr>
          <w:rFonts w:ascii="Garamond" w:hAnsi="Garamond"/>
        </w:rPr>
        <w:t>note 14</w:t>
      </w:r>
      <w:r w:rsidR="00E708CB" w:rsidRPr="005602A7">
        <w:rPr>
          <w:rFonts w:ascii="Garamond" w:hAnsi="Garamond"/>
        </w:rPr>
        <w:t>;</w:t>
      </w:r>
      <w:r w:rsidRPr="005602A7">
        <w:rPr>
          <w:rFonts w:ascii="Garamond" w:hAnsi="Garamond"/>
        </w:rPr>
        <w:t xml:space="preserve"> </w:t>
      </w:r>
      <w:r w:rsidR="00F07709" w:rsidRPr="005602A7">
        <w:rPr>
          <w:rFonts w:ascii="Garamond" w:hAnsi="Garamond"/>
        </w:rPr>
        <w:t xml:space="preserve">Peters, </w:t>
      </w:r>
      <w:r w:rsidR="005B1517" w:rsidRPr="005602A7">
        <w:rPr>
          <w:rFonts w:ascii="Garamond" w:hAnsi="Garamond"/>
          <w:i/>
          <w:iCs/>
        </w:rPr>
        <w:t xml:space="preserve">Humanity as the Alpha and Omega of Sovereignty, </w:t>
      </w:r>
      <w:r w:rsidR="00F07709" w:rsidRPr="005602A7">
        <w:rPr>
          <w:rFonts w:ascii="Garamond" w:hAnsi="Garamond"/>
          <w:i/>
          <w:iCs/>
        </w:rPr>
        <w:t xml:space="preserve">supra </w:t>
      </w:r>
      <w:r w:rsidR="00F07709" w:rsidRPr="005602A7">
        <w:rPr>
          <w:rFonts w:ascii="Garamond" w:hAnsi="Garamond"/>
        </w:rPr>
        <w:t xml:space="preserve">note 41 at 515. </w:t>
      </w:r>
    </w:p>
  </w:footnote>
  <w:footnote w:id="62">
    <w:p w14:paraId="67F6B659" w14:textId="33641448" w:rsidR="003B5118" w:rsidRPr="005602A7" w:rsidRDefault="003B5118"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4F4503" w:rsidRPr="005602A7">
        <w:rPr>
          <w:rFonts w:ascii="Garamond" w:eastAsia="Times New Roman" w:hAnsi="Garamond" w:cs="Times New Roman"/>
          <w:kern w:val="0"/>
          <w:lang w:val="en-US"/>
          <w14:ligatures w14:val="none"/>
        </w:rPr>
        <w:t>International Commission on Intervention and State Sovereignty (ICISS) ‘The Responsibility to Protect’ (2001)</w:t>
      </w:r>
      <w:r w:rsidR="00AC089E" w:rsidRPr="005602A7">
        <w:rPr>
          <w:rFonts w:ascii="Garamond" w:eastAsia="Times New Roman" w:hAnsi="Garamond" w:cs="Times New Roman"/>
          <w:kern w:val="0"/>
          <w:lang w:val="en-US"/>
          <w14:ligatures w14:val="none"/>
        </w:rPr>
        <w:t>.</w:t>
      </w:r>
    </w:p>
  </w:footnote>
  <w:footnote w:id="63">
    <w:p w14:paraId="22549970" w14:textId="2BA1612B" w:rsidR="001757B6" w:rsidRPr="005602A7" w:rsidRDefault="001757B6"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1F7060" w:rsidRPr="005602A7">
        <w:rPr>
          <w:rFonts w:ascii="Garamond" w:hAnsi="Garamond"/>
        </w:rPr>
        <w:t>What is R2P, Global Centre for the Responsibility to Protect, available at: https://www.globalr2p.org/what-is-r2p/#:~:text=R2P%20has%20been%20invoked%20in,of%20genocide%2C%20prevention%20of%20armed</w:t>
      </w:r>
      <w:r w:rsidR="00302D4A" w:rsidRPr="005602A7">
        <w:rPr>
          <w:rFonts w:ascii="Garamond" w:hAnsi="Garamond"/>
        </w:rPr>
        <w:t>.</w:t>
      </w:r>
    </w:p>
  </w:footnote>
  <w:footnote w:id="64">
    <w:p w14:paraId="4BC82A30" w14:textId="4FD5B70A" w:rsidR="00E9006F" w:rsidRPr="005602A7" w:rsidRDefault="00E9006F"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BD1466" w:rsidRPr="005602A7">
        <w:rPr>
          <w:rFonts w:ascii="Garamond" w:hAnsi="Garamond"/>
        </w:rPr>
        <w:t xml:space="preserve">Jan </w:t>
      </w:r>
      <w:r w:rsidRPr="005602A7">
        <w:rPr>
          <w:rFonts w:ascii="Garamond" w:hAnsi="Garamond"/>
        </w:rPr>
        <w:t>Klabbers</w:t>
      </w:r>
      <w:r w:rsidR="00BD1466" w:rsidRPr="005602A7">
        <w:rPr>
          <w:rFonts w:ascii="Garamond" w:hAnsi="Garamond"/>
        </w:rPr>
        <w:t xml:space="preserve">, </w:t>
      </w:r>
      <w:r w:rsidR="00926943" w:rsidRPr="005602A7">
        <w:rPr>
          <w:rFonts w:ascii="Garamond" w:hAnsi="Garamond"/>
          <w:i/>
          <w:iCs/>
        </w:rPr>
        <w:t>Clinching the Concept of Sovereignty, Wimbledon Redux,</w:t>
      </w:r>
      <w:r w:rsidR="00926943" w:rsidRPr="005602A7">
        <w:rPr>
          <w:rFonts w:ascii="Garamond" w:hAnsi="Garamond"/>
        </w:rPr>
        <w:t xml:space="preserve"> </w:t>
      </w:r>
      <w:r w:rsidR="001677FF" w:rsidRPr="005602A7">
        <w:rPr>
          <w:rFonts w:ascii="Garamond" w:hAnsi="Garamond"/>
        </w:rPr>
        <w:t xml:space="preserve">3 </w:t>
      </w:r>
      <w:r w:rsidR="00926943" w:rsidRPr="005602A7">
        <w:rPr>
          <w:rFonts w:ascii="Garamond" w:hAnsi="Garamond"/>
          <w:smallCaps/>
        </w:rPr>
        <w:t>Austrian Review of International and European Law,</w:t>
      </w:r>
      <w:r w:rsidR="00926943" w:rsidRPr="005602A7">
        <w:rPr>
          <w:rFonts w:ascii="Garamond" w:hAnsi="Garamond"/>
        </w:rPr>
        <w:t xml:space="preserve"> 345</w:t>
      </w:r>
      <w:r w:rsidR="001677FF" w:rsidRPr="005602A7">
        <w:rPr>
          <w:rFonts w:ascii="Garamond" w:hAnsi="Garamond"/>
        </w:rPr>
        <w:t>,</w:t>
      </w:r>
      <w:r w:rsidR="00926943" w:rsidRPr="005602A7">
        <w:rPr>
          <w:rFonts w:ascii="Garamond" w:hAnsi="Garamond"/>
        </w:rPr>
        <w:t xml:space="preserve"> </w:t>
      </w:r>
      <w:r w:rsidRPr="005602A7">
        <w:rPr>
          <w:rFonts w:ascii="Garamond" w:hAnsi="Garamond"/>
        </w:rPr>
        <w:t>362</w:t>
      </w:r>
      <w:r w:rsidR="001677FF" w:rsidRPr="005602A7">
        <w:rPr>
          <w:rFonts w:ascii="Garamond" w:hAnsi="Garamond"/>
        </w:rPr>
        <w:t xml:space="preserve"> (1998)</w:t>
      </w:r>
      <w:r w:rsidR="00926943" w:rsidRPr="005602A7">
        <w:rPr>
          <w:rFonts w:ascii="Garamond" w:hAnsi="Garamond"/>
        </w:rPr>
        <w:t>.</w:t>
      </w:r>
      <w:r w:rsidRPr="005602A7">
        <w:rPr>
          <w:rFonts w:ascii="Garamond" w:hAnsi="Garamond"/>
        </w:rPr>
        <w:t xml:space="preserve"> </w:t>
      </w:r>
    </w:p>
  </w:footnote>
  <w:footnote w:id="65">
    <w:p w14:paraId="59076301" w14:textId="31F2CD59" w:rsidR="00E9006F" w:rsidRPr="005602A7" w:rsidRDefault="00E9006F"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302D4A" w:rsidRPr="005602A7">
        <w:rPr>
          <w:rFonts w:ascii="Garamond" w:hAnsi="Garamond"/>
        </w:rPr>
        <w:t xml:space="preserve">Claus D. Zimmermann, </w:t>
      </w:r>
      <w:r w:rsidRPr="005602A7">
        <w:rPr>
          <w:rFonts w:ascii="Garamond" w:hAnsi="Garamond"/>
          <w:i/>
          <w:iCs/>
        </w:rPr>
        <w:t>The Concept of Monetary Sovereignty Revisited</w:t>
      </w:r>
      <w:r w:rsidR="00302D4A" w:rsidRPr="005602A7">
        <w:rPr>
          <w:rFonts w:ascii="Garamond" w:hAnsi="Garamond"/>
        </w:rPr>
        <w:t>,</w:t>
      </w:r>
      <w:r w:rsidR="001677FF" w:rsidRPr="005602A7">
        <w:rPr>
          <w:rFonts w:ascii="Garamond" w:hAnsi="Garamond"/>
        </w:rPr>
        <w:t xml:space="preserve"> 24(3)</w:t>
      </w:r>
      <w:r w:rsidR="00302D4A" w:rsidRPr="005602A7">
        <w:rPr>
          <w:rFonts w:ascii="Garamond" w:hAnsi="Garamond"/>
        </w:rPr>
        <w:t xml:space="preserve"> EJIL 797</w:t>
      </w:r>
      <w:r w:rsidR="001677FF" w:rsidRPr="005602A7">
        <w:rPr>
          <w:rFonts w:ascii="Garamond" w:hAnsi="Garamond"/>
        </w:rPr>
        <w:t xml:space="preserve"> (2013)</w:t>
      </w:r>
      <w:r w:rsidRPr="005602A7">
        <w:rPr>
          <w:rFonts w:ascii="Garamond" w:hAnsi="Garamond"/>
        </w:rPr>
        <w:t xml:space="preserve">; </w:t>
      </w:r>
      <w:r w:rsidR="00EE4A9B" w:rsidRPr="005602A7">
        <w:rPr>
          <w:rFonts w:ascii="Garamond" w:hAnsi="Garamond"/>
        </w:rPr>
        <w:t xml:space="preserve">Klabbers, </w:t>
      </w:r>
      <w:r w:rsidR="00BA5177" w:rsidRPr="005602A7">
        <w:rPr>
          <w:rFonts w:ascii="Garamond" w:hAnsi="Garamond"/>
          <w:i/>
          <w:iCs/>
        </w:rPr>
        <w:t xml:space="preserve">Clinching the Concept of Sovereignty, Wimbledon Redux, </w:t>
      </w:r>
      <w:r w:rsidR="00703CCF" w:rsidRPr="005602A7">
        <w:rPr>
          <w:rFonts w:ascii="Garamond" w:hAnsi="Garamond"/>
          <w:i/>
          <w:iCs/>
        </w:rPr>
        <w:t xml:space="preserve">supra </w:t>
      </w:r>
      <w:r w:rsidR="00703CCF" w:rsidRPr="005602A7">
        <w:rPr>
          <w:rFonts w:ascii="Garamond" w:hAnsi="Garamond"/>
        </w:rPr>
        <w:t>note 63 at</w:t>
      </w:r>
      <w:r w:rsidR="00EE5015" w:rsidRPr="005602A7">
        <w:rPr>
          <w:rFonts w:ascii="Garamond" w:hAnsi="Garamond"/>
        </w:rPr>
        <w:t xml:space="preserve"> </w:t>
      </w:r>
      <w:r w:rsidRPr="005602A7">
        <w:rPr>
          <w:rFonts w:ascii="Garamond" w:hAnsi="Garamond"/>
        </w:rPr>
        <w:t>363</w:t>
      </w:r>
      <w:r w:rsidR="00EE5015" w:rsidRPr="005602A7">
        <w:rPr>
          <w:rFonts w:ascii="Garamond" w:hAnsi="Garamond"/>
        </w:rPr>
        <w:t>.</w:t>
      </w:r>
      <w:r w:rsidRPr="005602A7">
        <w:rPr>
          <w:rFonts w:ascii="Garamond" w:hAnsi="Garamond"/>
        </w:rPr>
        <w:t xml:space="preserve"> </w:t>
      </w:r>
    </w:p>
  </w:footnote>
  <w:footnote w:id="66">
    <w:p w14:paraId="0B6E08F7" w14:textId="20D0A531" w:rsidR="00E9006F" w:rsidRPr="005602A7" w:rsidRDefault="00E9006F"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3749F9" w:rsidRPr="005602A7">
        <w:rPr>
          <w:rFonts w:ascii="Garamond" w:hAnsi="Garamond"/>
        </w:rPr>
        <w:t xml:space="preserve">The SS ‘Wimbledon’, United Kingdom and Ors v Germany, Judgment, (1923) PCIJ Series A, No 1, </w:t>
      </w:r>
      <w:r w:rsidR="00926943" w:rsidRPr="005602A7">
        <w:rPr>
          <w:rFonts w:ascii="Garamond" w:hAnsi="Garamond"/>
        </w:rPr>
        <w:t>at p. 25</w:t>
      </w:r>
      <w:r w:rsidR="00CC45FC" w:rsidRPr="005602A7">
        <w:rPr>
          <w:rFonts w:ascii="Garamond" w:hAnsi="Garamond"/>
        </w:rPr>
        <w:t>;</w:t>
      </w:r>
      <w:r w:rsidR="00BF74AD" w:rsidRPr="005602A7">
        <w:rPr>
          <w:rFonts w:ascii="Garamond" w:hAnsi="Garamond"/>
        </w:rPr>
        <w:t xml:space="preserve"> </w:t>
      </w:r>
      <w:r w:rsidR="00CC45FC" w:rsidRPr="005602A7">
        <w:rPr>
          <w:rFonts w:ascii="Garamond" w:hAnsi="Garamond"/>
        </w:rPr>
        <w:t>M</w:t>
      </w:r>
      <w:r w:rsidR="00BF74AD" w:rsidRPr="005602A7">
        <w:rPr>
          <w:rFonts w:ascii="Garamond" w:hAnsi="Garamond"/>
        </w:rPr>
        <w:t xml:space="preserve">artti </w:t>
      </w:r>
      <w:proofErr w:type="spellStart"/>
      <w:r w:rsidR="00CC45FC" w:rsidRPr="005602A7">
        <w:rPr>
          <w:rFonts w:ascii="Garamond" w:hAnsi="Garamond"/>
        </w:rPr>
        <w:t>K</w:t>
      </w:r>
      <w:r w:rsidR="00BF74AD" w:rsidRPr="005602A7">
        <w:rPr>
          <w:rFonts w:ascii="Garamond" w:hAnsi="Garamond"/>
        </w:rPr>
        <w:t>oskenniemi</w:t>
      </w:r>
      <w:proofErr w:type="spellEnd"/>
      <w:r w:rsidR="00BF74AD" w:rsidRPr="005602A7">
        <w:rPr>
          <w:rFonts w:ascii="Garamond" w:hAnsi="Garamond"/>
        </w:rPr>
        <w:t xml:space="preserve">, </w:t>
      </w:r>
      <w:r w:rsidR="00F83CFD" w:rsidRPr="005602A7">
        <w:rPr>
          <w:rFonts w:ascii="Garamond" w:hAnsi="Garamond"/>
          <w:i/>
          <w:iCs/>
        </w:rPr>
        <w:t>what use for sovereignty today</w:t>
      </w:r>
      <w:r w:rsidR="00CC45FC" w:rsidRPr="005602A7">
        <w:rPr>
          <w:rFonts w:ascii="Garamond" w:hAnsi="Garamond"/>
          <w:i/>
          <w:iCs/>
        </w:rPr>
        <w:t>?,</w:t>
      </w:r>
      <w:r w:rsidR="00CC45FC" w:rsidRPr="005602A7">
        <w:rPr>
          <w:rFonts w:ascii="Garamond" w:hAnsi="Garamond"/>
        </w:rPr>
        <w:t xml:space="preserve"> </w:t>
      </w:r>
      <w:r w:rsidR="001677FF" w:rsidRPr="005602A7">
        <w:rPr>
          <w:rFonts w:ascii="Garamond" w:hAnsi="Garamond"/>
        </w:rPr>
        <w:t xml:space="preserve">1 </w:t>
      </w:r>
      <w:r w:rsidR="00CC45FC" w:rsidRPr="005602A7">
        <w:rPr>
          <w:rFonts w:ascii="Garamond" w:hAnsi="Garamond"/>
          <w:smallCaps/>
        </w:rPr>
        <w:t>Asian Journal of International Law</w:t>
      </w:r>
      <w:r w:rsidR="00CC45FC" w:rsidRPr="005602A7">
        <w:rPr>
          <w:rFonts w:ascii="Garamond" w:hAnsi="Garamond"/>
        </w:rPr>
        <w:t>, 61, 62</w:t>
      </w:r>
      <w:r w:rsidR="001677FF" w:rsidRPr="005602A7">
        <w:rPr>
          <w:rFonts w:ascii="Garamond" w:hAnsi="Garamond"/>
        </w:rPr>
        <w:t xml:space="preserve"> (2011)</w:t>
      </w:r>
      <w:r w:rsidR="00CC45FC" w:rsidRPr="005602A7">
        <w:rPr>
          <w:rFonts w:ascii="Garamond" w:hAnsi="Garamond"/>
        </w:rPr>
        <w:t>.</w:t>
      </w:r>
      <w:r w:rsidR="00F83CFD" w:rsidRPr="005602A7">
        <w:rPr>
          <w:rFonts w:ascii="Garamond" w:hAnsi="Garamond"/>
        </w:rPr>
        <w:t xml:space="preserve"> </w:t>
      </w:r>
    </w:p>
  </w:footnote>
  <w:footnote w:id="67">
    <w:p w14:paraId="749E6131" w14:textId="40402AD9" w:rsidR="00EF26A9" w:rsidRPr="005602A7" w:rsidRDefault="00EF26A9"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03CCF" w:rsidRPr="005602A7">
        <w:rPr>
          <w:rFonts w:ascii="Garamond" w:hAnsi="Garamond"/>
        </w:rPr>
        <w:t>Klabbers,</w:t>
      </w:r>
      <w:r w:rsidR="00BA5177" w:rsidRPr="005602A7">
        <w:rPr>
          <w:rFonts w:ascii="Garamond" w:hAnsi="Garamond"/>
        </w:rPr>
        <w:t xml:space="preserve"> </w:t>
      </w:r>
      <w:r w:rsidR="00BA5177" w:rsidRPr="005602A7">
        <w:rPr>
          <w:rFonts w:ascii="Garamond" w:hAnsi="Garamond"/>
          <w:i/>
          <w:iCs/>
        </w:rPr>
        <w:t>Clinching the Concept of Sovereignty, Wimbledon Redux,</w:t>
      </w:r>
      <w:r w:rsidR="00703CCF"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 xml:space="preserve">note 63 at </w:t>
      </w:r>
      <w:r w:rsidRPr="005602A7">
        <w:rPr>
          <w:rFonts w:ascii="Garamond" w:hAnsi="Garamond"/>
        </w:rPr>
        <w:t>362</w:t>
      </w:r>
      <w:r w:rsidR="00364E8C" w:rsidRPr="005602A7">
        <w:rPr>
          <w:rFonts w:ascii="Garamond" w:hAnsi="Garamond"/>
        </w:rPr>
        <w:t>.</w:t>
      </w:r>
    </w:p>
  </w:footnote>
  <w:footnote w:id="68">
    <w:p w14:paraId="468835ED" w14:textId="604E9D41" w:rsidR="00FE243A" w:rsidRPr="005602A7" w:rsidRDefault="00FE243A"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B605C" w:rsidRPr="005602A7">
        <w:rPr>
          <w:rFonts w:ascii="Garamond" w:hAnsi="Garamond"/>
        </w:rPr>
        <w:t xml:space="preserve">Besson, </w:t>
      </w:r>
      <w:r w:rsidR="00EB605C" w:rsidRPr="005602A7">
        <w:rPr>
          <w:rFonts w:ascii="Garamond" w:hAnsi="Garamond"/>
          <w:i/>
          <w:iCs/>
        </w:rPr>
        <w:t>Sovereignty,</w:t>
      </w:r>
      <w:r w:rsidR="00EB605C" w:rsidRPr="005602A7">
        <w:rPr>
          <w:rFonts w:ascii="Garamond" w:hAnsi="Garamond"/>
        </w:rPr>
        <w:t xml:space="preserve"> </w:t>
      </w:r>
      <w:r w:rsidR="005C1F61" w:rsidRPr="005602A7">
        <w:rPr>
          <w:rFonts w:ascii="Garamond" w:hAnsi="Garamond"/>
          <w:i/>
          <w:iCs/>
        </w:rPr>
        <w:t xml:space="preserve">supra </w:t>
      </w:r>
      <w:r w:rsidR="005C1F61" w:rsidRPr="005602A7">
        <w:rPr>
          <w:rFonts w:ascii="Garamond" w:hAnsi="Garamond"/>
        </w:rPr>
        <w:t xml:space="preserve">note 18; </w:t>
      </w:r>
      <w:r w:rsidR="00703CCF" w:rsidRPr="005602A7">
        <w:rPr>
          <w:rFonts w:ascii="Garamond" w:hAnsi="Garamond"/>
        </w:rPr>
        <w:t xml:space="preserve">Klabbers, </w:t>
      </w:r>
      <w:r w:rsidR="00BA5177" w:rsidRPr="005602A7">
        <w:rPr>
          <w:rFonts w:ascii="Garamond" w:hAnsi="Garamond"/>
          <w:i/>
          <w:iCs/>
        </w:rPr>
        <w:t xml:space="preserve">Clinching the Concept of Sovereignty, Wimbledon Redux, </w:t>
      </w:r>
      <w:r w:rsidR="00703CCF" w:rsidRPr="005602A7">
        <w:rPr>
          <w:rFonts w:ascii="Garamond" w:hAnsi="Garamond"/>
          <w:i/>
          <w:iCs/>
        </w:rPr>
        <w:t xml:space="preserve">supra </w:t>
      </w:r>
      <w:r w:rsidR="00703CCF" w:rsidRPr="005602A7">
        <w:rPr>
          <w:rFonts w:ascii="Garamond" w:hAnsi="Garamond"/>
        </w:rPr>
        <w:t xml:space="preserve">note 63 at </w:t>
      </w:r>
      <w:r w:rsidR="00EE4A9B" w:rsidRPr="005602A7">
        <w:rPr>
          <w:rFonts w:ascii="Garamond" w:hAnsi="Garamond"/>
        </w:rPr>
        <w:t>362</w:t>
      </w:r>
      <w:r w:rsidR="00135794" w:rsidRPr="005602A7">
        <w:rPr>
          <w:rFonts w:ascii="Garamond" w:hAnsi="Garamond"/>
        </w:rPr>
        <w:t>; S.S. Lotus (Fr. v. Turk.), 1927 PCIJ Series A, No. 10 (Sept. 7) at 18.</w:t>
      </w:r>
    </w:p>
  </w:footnote>
  <w:footnote w:id="69">
    <w:p w14:paraId="600B5F77" w14:textId="2B135668" w:rsidR="0087191A" w:rsidRPr="005602A7" w:rsidRDefault="0087191A"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1264FC" w:rsidRPr="005602A7">
        <w:rPr>
          <w:rFonts w:ascii="Garamond" w:hAnsi="Garamond"/>
          <w:lang w:val="en-US"/>
        </w:rPr>
        <w:t>A</w:t>
      </w:r>
      <w:r w:rsidR="007B16D0" w:rsidRPr="005602A7">
        <w:rPr>
          <w:rFonts w:ascii="Garamond" w:hAnsi="Garamond"/>
          <w:lang w:val="en-US"/>
        </w:rPr>
        <w:t>lain</w:t>
      </w:r>
      <w:r w:rsidR="001264FC" w:rsidRPr="005602A7">
        <w:rPr>
          <w:rFonts w:ascii="Garamond" w:hAnsi="Garamond"/>
          <w:lang w:val="en-US"/>
        </w:rPr>
        <w:t xml:space="preserve"> Pellet</w:t>
      </w:r>
      <w:r w:rsidR="007B16D0" w:rsidRPr="005602A7">
        <w:rPr>
          <w:rFonts w:ascii="Garamond" w:hAnsi="Garamond"/>
          <w:lang w:val="en-US"/>
        </w:rPr>
        <w:t xml:space="preserve">, </w:t>
      </w:r>
      <w:r w:rsidR="007B16D0" w:rsidRPr="005602A7">
        <w:rPr>
          <w:rFonts w:ascii="Garamond" w:hAnsi="Garamond"/>
          <w:i/>
          <w:iCs/>
          <w:lang w:val="en-US"/>
        </w:rPr>
        <w:t>The Normative Dilemma: Will and Consent in International Law-Making,</w:t>
      </w:r>
      <w:r w:rsidR="007B16D0" w:rsidRPr="005602A7">
        <w:rPr>
          <w:rFonts w:ascii="Garamond" w:hAnsi="Garamond"/>
          <w:lang w:val="en-US"/>
        </w:rPr>
        <w:t xml:space="preserve"> </w:t>
      </w:r>
      <w:r w:rsidR="007B16D0" w:rsidRPr="005602A7">
        <w:rPr>
          <w:rFonts w:ascii="Garamond" w:hAnsi="Garamond"/>
        </w:rPr>
        <w:t xml:space="preserve">12(1) </w:t>
      </w:r>
      <w:r w:rsidR="007B16D0" w:rsidRPr="005602A7">
        <w:rPr>
          <w:rFonts w:ascii="Garamond" w:hAnsi="Garamond"/>
          <w:smallCaps/>
        </w:rPr>
        <w:t xml:space="preserve">Australian Yearbook of International Law </w:t>
      </w:r>
      <w:r w:rsidR="007B16D0" w:rsidRPr="005602A7">
        <w:rPr>
          <w:rFonts w:ascii="Garamond" w:hAnsi="Garamond"/>
        </w:rPr>
        <w:t>22,</w:t>
      </w:r>
      <w:r w:rsidR="001264FC" w:rsidRPr="005602A7">
        <w:rPr>
          <w:rFonts w:ascii="Garamond" w:hAnsi="Garamond"/>
          <w:lang w:val="en-US"/>
        </w:rPr>
        <w:t xml:space="preserve"> </w:t>
      </w:r>
      <w:r w:rsidR="0063703E" w:rsidRPr="005602A7">
        <w:rPr>
          <w:rFonts w:ascii="Garamond" w:hAnsi="Garamond"/>
          <w:lang w:val="en-US"/>
        </w:rPr>
        <w:t>26</w:t>
      </w:r>
      <w:r w:rsidR="001677FF" w:rsidRPr="005602A7">
        <w:rPr>
          <w:rFonts w:ascii="Garamond" w:hAnsi="Garamond"/>
          <w:lang w:val="en-US"/>
        </w:rPr>
        <w:t xml:space="preserve"> (1992)</w:t>
      </w:r>
      <w:r w:rsidR="00914522" w:rsidRPr="005602A7">
        <w:rPr>
          <w:rFonts w:ascii="Garamond" w:hAnsi="Garamond"/>
          <w:lang w:val="en-US"/>
        </w:rPr>
        <w:t>.</w:t>
      </w:r>
    </w:p>
  </w:footnote>
  <w:footnote w:id="70">
    <w:p w14:paraId="2FEFAB95" w14:textId="74BCE5DF" w:rsidR="00EF26A9" w:rsidRPr="005602A7" w:rsidRDefault="00EF26A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7D1675" w:rsidRPr="005602A7">
        <w:rPr>
          <w:rFonts w:ascii="Garamond" w:hAnsi="Garamond"/>
        </w:rPr>
        <w:t xml:space="preserve">Jan </w:t>
      </w:r>
      <w:r w:rsidRPr="005602A7">
        <w:rPr>
          <w:rFonts w:ascii="Garamond" w:hAnsi="Garamond"/>
          <w:lang w:val="en-US"/>
        </w:rPr>
        <w:t>Klabbers</w:t>
      </w:r>
      <w:r w:rsidR="007D1675" w:rsidRPr="005602A7">
        <w:rPr>
          <w:rFonts w:ascii="Garamond" w:hAnsi="Garamond"/>
          <w:lang w:val="en-US"/>
        </w:rPr>
        <w:t xml:space="preserve">, </w:t>
      </w:r>
      <w:r w:rsidR="007D1675" w:rsidRPr="005602A7">
        <w:rPr>
          <w:rFonts w:ascii="Garamond" w:hAnsi="Garamond"/>
          <w:i/>
          <w:iCs/>
          <w:lang w:val="en-US"/>
        </w:rPr>
        <w:t>Law-making and Constitutionalism</w:t>
      </w:r>
      <w:r w:rsidRPr="005602A7">
        <w:rPr>
          <w:rFonts w:ascii="Garamond" w:hAnsi="Garamond"/>
          <w:i/>
          <w:iCs/>
          <w:lang w:val="en-US"/>
        </w:rPr>
        <w:t xml:space="preserve">, </w:t>
      </w:r>
      <w:r w:rsidR="007D1675" w:rsidRPr="005602A7">
        <w:rPr>
          <w:rFonts w:ascii="Garamond" w:hAnsi="Garamond"/>
          <w:i/>
          <w:iCs/>
          <w:lang w:val="en-US"/>
        </w:rPr>
        <w:t>in</w:t>
      </w:r>
      <w:r w:rsidRPr="005602A7">
        <w:rPr>
          <w:rFonts w:ascii="Garamond" w:hAnsi="Garamond"/>
          <w:lang w:val="en-US"/>
        </w:rPr>
        <w:t xml:space="preserve"> </w:t>
      </w:r>
      <w:r w:rsidR="007D1675" w:rsidRPr="005602A7">
        <w:rPr>
          <w:rFonts w:ascii="Garamond" w:hAnsi="Garamond"/>
          <w:smallCaps/>
          <w:lang w:val="en-US"/>
        </w:rPr>
        <w:t xml:space="preserve">The </w:t>
      </w:r>
      <w:proofErr w:type="spellStart"/>
      <w:r w:rsidR="007D1675" w:rsidRPr="005602A7">
        <w:rPr>
          <w:rFonts w:ascii="Garamond" w:hAnsi="Garamond"/>
          <w:smallCaps/>
          <w:lang w:val="en-US"/>
        </w:rPr>
        <w:t>Constitutionalization</w:t>
      </w:r>
      <w:proofErr w:type="spellEnd"/>
      <w:r w:rsidR="007D1675" w:rsidRPr="005602A7">
        <w:rPr>
          <w:rFonts w:ascii="Garamond" w:hAnsi="Garamond"/>
          <w:smallCaps/>
          <w:lang w:val="en-US"/>
        </w:rPr>
        <w:t xml:space="preserve"> of International Law</w:t>
      </w:r>
      <w:r w:rsidR="007D1675" w:rsidRPr="005602A7">
        <w:rPr>
          <w:rFonts w:ascii="Garamond" w:hAnsi="Garamond"/>
          <w:lang w:val="en-US"/>
        </w:rPr>
        <w:t xml:space="preserve"> (Jan Klabbers, Anne Peters and Geir </w:t>
      </w:r>
      <w:proofErr w:type="spellStart"/>
      <w:r w:rsidR="007D1675" w:rsidRPr="005602A7">
        <w:rPr>
          <w:rFonts w:ascii="Garamond" w:hAnsi="Garamond"/>
          <w:lang w:val="en-US"/>
        </w:rPr>
        <w:t>Ulfstein</w:t>
      </w:r>
      <w:proofErr w:type="spellEnd"/>
      <w:r w:rsidR="007D1675" w:rsidRPr="005602A7">
        <w:rPr>
          <w:rFonts w:ascii="Garamond" w:hAnsi="Garamond"/>
          <w:lang w:val="en-US"/>
        </w:rPr>
        <w:t>, OUP 2009</w:t>
      </w:r>
      <w:r w:rsidR="001C1B44" w:rsidRPr="005602A7">
        <w:rPr>
          <w:rFonts w:ascii="Garamond" w:hAnsi="Garamond"/>
          <w:lang w:val="en-US"/>
        </w:rPr>
        <w:t>)</w:t>
      </w:r>
      <w:r w:rsidR="007D1675" w:rsidRPr="005602A7">
        <w:rPr>
          <w:rFonts w:ascii="Garamond" w:hAnsi="Garamond"/>
          <w:lang w:val="en-US"/>
        </w:rPr>
        <w:t xml:space="preserve"> </w:t>
      </w:r>
      <w:r w:rsidR="001C1B44" w:rsidRPr="005602A7">
        <w:rPr>
          <w:rFonts w:ascii="Garamond" w:hAnsi="Garamond"/>
          <w:lang w:val="en-US"/>
        </w:rPr>
        <w:t>114</w:t>
      </w:r>
      <w:r w:rsidR="007D1675" w:rsidRPr="005602A7">
        <w:rPr>
          <w:rFonts w:ascii="Garamond" w:hAnsi="Garamond"/>
          <w:lang w:val="en-US"/>
        </w:rPr>
        <w:t>.</w:t>
      </w:r>
    </w:p>
  </w:footnote>
  <w:footnote w:id="71">
    <w:p w14:paraId="1896361E" w14:textId="58D4620A" w:rsidR="00EF26A9" w:rsidRPr="005602A7" w:rsidRDefault="00EF26A9"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D1675" w:rsidRPr="005602A7">
        <w:rPr>
          <w:rFonts w:ascii="Garamond" w:hAnsi="Garamond"/>
        </w:rPr>
        <w:t xml:space="preserve">Georg </w:t>
      </w:r>
      <w:r w:rsidRPr="005602A7">
        <w:rPr>
          <w:rFonts w:ascii="Garamond" w:hAnsi="Garamond"/>
        </w:rPr>
        <w:t xml:space="preserve">Nolte, </w:t>
      </w:r>
      <w:r w:rsidR="007D1675" w:rsidRPr="005602A7">
        <w:rPr>
          <w:rFonts w:ascii="Garamond" w:hAnsi="Garamond"/>
          <w:i/>
          <w:iCs/>
        </w:rPr>
        <w:t>S</w:t>
      </w:r>
      <w:r w:rsidRPr="005602A7">
        <w:rPr>
          <w:rFonts w:ascii="Garamond" w:hAnsi="Garamond"/>
          <w:i/>
          <w:iCs/>
        </w:rPr>
        <w:t xml:space="preserve">overeignty as </w:t>
      </w:r>
      <w:r w:rsidR="007D1675" w:rsidRPr="005602A7">
        <w:rPr>
          <w:rFonts w:ascii="Garamond" w:hAnsi="Garamond"/>
          <w:i/>
          <w:iCs/>
        </w:rPr>
        <w:t>R</w:t>
      </w:r>
      <w:r w:rsidRPr="005602A7">
        <w:rPr>
          <w:rFonts w:ascii="Garamond" w:hAnsi="Garamond"/>
          <w:i/>
          <w:iCs/>
        </w:rPr>
        <w:t>esponsibility?</w:t>
      </w:r>
      <w:r w:rsidR="007D1675" w:rsidRPr="005602A7">
        <w:rPr>
          <w:rFonts w:ascii="Garamond" w:hAnsi="Garamond"/>
          <w:i/>
          <w:iCs/>
        </w:rPr>
        <w:t xml:space="preserve">, </w:t>
      </w:r>
      <w:r w:rsidR="007D1675" w:rsidRPr="005602A7">
        <w:rPr>
          <w:rFonts w:ascii="Garamond" w:hAnsi="Garamond"/>
          <w:smallCaps/>
        </w:rPr>
        <w:t>Proceedings of the Annual Meeting (ASIL) March 30-April 2, 2005, Vol 99,</w:t>
      </w:r>
      <w:r w:rsidR="007D1675" w:rsidRPr="005602A7">
        <w:rPr>
          <w:rFonts w:ascii="Garamond" w:hAnsi="Garamond"/>
        </w:rPr>
        <w:t xml:space="preserve"> 389-392.</w:t>
      </w:r>
      <w:r w:rsidRPr="005602A7">
        <w:rPr>
          <w:rFonts w:ascii="Garamond" w:hAnsi="Garamond"/>
        </w:rPr>
        <w:t xml:space="preserve"> Although </w:t>
      </w:r>
      <w:r w:rsidR="007D1675" w:rsidRPr="005602A7">
        <w:rPr>
          <w:rFonts w:ascii="Garamond" w:hAnsi="Garamond"/>
        </w:rPr>
        <w:t>N</w:t>
      </w:r>
      <w:r w:rsidRPr="005602A7">
        <w:rPr>
          <w:rFonts w:ascii="Garamond" w:hAnsi="Garamond"/>
        </w:rPr>
        <w:t xml:space="preserve">olte does not sketch out how this last part might look, I </w:t>
      </w:r>
      <w:r w:rsidR="007D1675" w:rsidRPr="005602A7">
        <w:rPr>
          <w:rFonts w:ascii="Garamond" w:hAnsi="Garamond"/>
        </w:rPr>
        <w:t xml:space="preserve">would suppose that it involves subscribing to a </w:t>
      </w:r>
      <w:r w:rsidRPr="005602A7">
        <w:rPr>
          <w:rFonts w:ascii="Garamond" w:hAnsi="Garamond"/>
        </w:rPr>
        <w:t>system of rules – one that even permits</w:t>
      </w:r>
      <w:r w:rsidR="007D1675" w:rsidRPr="005602A7">
        <w:rPr>
          <w:rFonts w:ascii="Garamond" w:hAnsi="Garamond"/>
        </w:rPr>
        <w:t xml:space="preserve"> the creation or recognition of</w:t>
      </w:r>
      <w:r w:rsidRPr="005602A7">
        <w:rPr>
          <w:rFonts w:ascii="Garamond" w:hAnsi="Garamond"/>
        </w:rPr>
        <w:t xml:space="preserve"> jus cogens</w:t>
      </w:r>
      <w:r w:rsidR="007D1675" w:rsidRPr="005602A7">
        <w:rPr>
          <w:rFonts w:ascii="Garamond" w:hAnsi="Garamond"/>
        </w:rPr>
        <w:t xml:space="preserve"> norms</w:t>
      </w:r>
      <w:r w:rsidRPr="005602A7">
        <w:rPr>
          <w:rFonts w:ascii="Garamond" w:hAnsi="Garamond"/>
        </w:rPr>
        <w:t>, and therefore being bound by jus cogens when they emerge through that system, by its conditions.</w:t>
      </w:r>
    </w:p>
  </w:footnote>
  <w:footnote w:id="72">
    <w:p w14:paraId="55A6DF35" w14:textId="2D194532" w:rsidR="00EF26A9" w:rsidRPr="005602A7" w:rsidRDefault="00EF26A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914522" w:rsidRPr="005602A7">
        <w:rPr>
          <w:rFonts w:ascii="Garamond" w:hAnsi="Garamond"/>
          <w:lang w:val="en-US"/>
        </w:rPr>
        <w:t xml:space="preserve">Klabbers, </w:t>
      </w:r>
      <w:r w:rsidR="00BA5177" w:rsidRPr="005602A7">
        <w:rPr>
          <w:rFonts w:ascii="Garamond" w:hAnsi="Garamond"/>
          <w:i/>
          <w:iCs/>
          <w:lang w:val="en-US"/>
        </w:rPr>
        <w:t xml:space="preserve">Law-making and Constitutionalism, </w:t>
      </w:r>
      <w:r w:rsidR="00703CCF" w:rsidRPr="005602A7">
        <w:rPr>
          <w:rFonts w:ascii="Garamond" w:hAnsi="Garamond"/>
          <w:i/>
          <w:iCs/>
          <w:lang w:val="en-US"/>
        </w:rPr>
        <w:t xml:space="preserve">supra </w:t>
      </w:r>
      <w:r w:rsidR="00703CCF" w:rsidRPr="005602A7">
        <w:rPr>
          <w:rFonts w:ascii="Garamond" w:hAnsi="Garamond"/>
          <w:lang w:val="en-US"/>
        </w:rPr>
        <w:t xml:space="preserve">note 69 at </w:t>
      </w:r>
      <w:r w:rsidRPr="005602A7">
        <w:rPr>
          <w:rFonts w:ascii="Garamond" w:hAnsi="Garamond"/>
          <w:lang w:val="en-US"/>
        </w:rPr>
        <w:t>114</w:t>
      </w:r>
      <w:r w:rsidR="007D1675" w:rsidRPr="005602A7">
        <w:rPr>
          <w:rFonts w:ascii="Garamond" w:hAnsi="Garamond"/>
          <w:lang w:val="en-US"/>
        </w:rPr>
        <w:t>.</w:t>
      </w:r>
      <w:r w:rsidRPr="005602A7">
        <w:rPr>
          <w:rFonts w:ascii="Garamond" w:hAnsi="Garamond"/>
          <w:lang w:val="en-US"/>
        </w:rPr>
        <w:t xml:space="preserve"> </w:t>
      </w:r>
    </w:p>
  </w:footnote>
  <w:footnote w:id="73">
    <w:p w14:paraId="75285F06" w14:textId="388DDA2B" w:rsidR="00FF120A" w:rsidRPr="005602A7" w:rsidRDefault="00FF120A"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Pr="005602A7">
        <w:rPr>
          <w:rFonts w:ascii="Garamond" w:hAnsi="Garamond"/>
          <w:lang w:val="en-US"/>
        </w:rPr>
        <w:t>Dyzenhaus</w:t>
      </w:r>
      <w:proofErr w:type="spellEnd"/>
      <w:r w:rsidRPr="005602A7">
        <w:rPr>
          <w:rFonts w:ascii="Garamond" w:hAnsi="Garamond"/>
          <w:lang w:val="en-US"/>
        </w:rPr>
        <w:t xml:space="preserve">, </w:t>
      </w:r>
      <w:r w:rsidRPr="005602A7">
        <w:rPr>
          <w:rFonts w:ascii="Garamond" w:hAnsi="Garamond"/>
          <w:i/>
          <w:iCs/>
          <w:lang w:val="en-US"/>
        </w:rPr>
        <w:t>Introduction, in</w:t>
      </w:r>
      <w:r w:rsidRPr="005602A7">
        <w:rPr>
          <w:rFonts w:ascii="Garamond" w:hAnsi="Garamond"/>
          <w:lang w:val="en-US"/>
        </w:rPr>
        <w:t xml:space="preserve"> </w:t>
      </w:r>
      <w:r w:rsidRPr="005602A7">
        <w:rPr>
          <w:rFonts w:ascii="Garamond" w:hAnsi="Garamond"/>
          <w:smallCaps/>
          <w:lang w:val="en-US"/>
        </w:rPr>
        <w:t>Sovereignty,</w:t>
      </w:r>
      <w:r w:rsidRPr="005602A7">
        <w:rPr>
          <w:rFonts w:ascii="Garamond" w:hAnsi="Garamond"/>
          <w:lang w:val="en-US"/>
        </w:rPr>
        <w:t xml:space="preserve"> </w:t>
      </w:r>
      <w:r w:rsidR="00BA5177" w:rsidRPr="005602A7">
        <w:rPr>
          <w:rFonts w:ascii="Garamond" w:hAnsi="Garamond"/>
          <w:i/>
          <w:iCs/>
          <w:lang w:val="en-US"/>
        </w:rPr>
        <w:t>supra</w:t>
      </w:r>
      <w:r w:rsidR="00BA5177" w:rsidRPr="005602A7">
        <w:rPr>
          <w:rFonts w:ascii="Garamond" w:hAnsi="Garamond"/>
          <w:lang w:val="en-US"/>
        </w:rPr>
        <w:t xml:space="preserve"> note 43</w:t>
      </w:r>
      <w:r w:rsidRPr="005602A7">
        <w:rPr>
          <w:rFonts w:ascii="Garamond" w:hAnsi="Garamond"/>
          <w:lang w:val="en-US"/>
        </w:rPr>
        <w:t xml:space="preserve"> at 39.</w:t>
      </w:r>
    </w:p>
  </w:footnote>
  <w:footnote w:id="74">
    <w:p w14:paraId="0FBCA453" w14:textId="2AF5F391" w:rsidR="00FF120A" w:rsidRPr="005602A7" w:rsidRDefault="00FF120A"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proofErr w:type="spellStart"/>
      <w:r w:rsidRPr="005602A7">
        <w:rPr>
          <w:rFonts w:ascii="Garamond" w:hAnsi="Garamond"/>
          <w:lang w:val="en-US"/>
        </w:rPr>
        <w:t>Dyzenhaus</w:t>
      </w:r>
      <w:proofErr w:type="spellEnd"/>
      <w:r w:rsidRPr="005602A7">
        <w:rPr>
          <w:rFonts w:ascii="Garamond" w:hAnsi="Garamond"/>
          <w:lang w:val="en-US"/>
        </w:rPr>
        <w:t xml:space="preserve">, </w:t>
      </w:r>
      <w:r w:rsidRPr="005602A7">
        <w:rPr>
          <w:rFonts w:ascii="Garamond" w:hAnsi="Garamond"/>
          <w:i/>
          <w:iCs/>
          <w:lang w:val="en-US"/>
        </w:rPr>
        <w:t>Introduction, in</w:t>
      </w:r>
      <w:r w:rsidRPr="005602A7">
        <w:rPr>
          <w:rFonts w:ascii="Garamond" w:hAnsi="Garamond"/>
          <w:lang w:val="en-US"/>
        </w:rPr>
        <w:t xml:space="preserve"> </w:t>
      </w:r>
      <w:r w:rsidRPr="005602A7">
        <w:rPr>
          <w:rFonts w:ascii="Garamond" w:hAnsi="Garamond"/>
          <w:smallCaps/>
          <w:lang w:val="en-US"/>
        </w:rPr>
        <w:t>Sovereignty,</w:t>
      </w:r>
      <w:r w:rsidRPr="005602A7">
        <w:rPr>
          <w:rFonts w:ascii="Garamond" w:hAnsi="Garamond"/>
          <w:lang w:val="en-US"/>
        </w:rPr>
        <w:t xml:space="preserve"> </w:t>
      </w:r>
      <w:r w:rsidR="00BA5177" w:rsidRPr="005602A7">
        <w:rPr>
          <w:rFonts w:ascii="Garamond" w:hAnsi="Garamond"/>
          <w:i/>
          <w:iCs/>
          <w:lang w:val="en-US"/>
        </w:rPr>
        <w:t>supra</w:t>
      </w:r>
      <w:r w:rsidR="00BA5177" w:rsidRPr="005602A7">
        <w:rPr>
          <w:rFonts w:ascii="Garamond" w:hAnsi="Garamond"/>
          <w:lang w:val="en-US"/>
        </w:rPr>
        <w:t xml:space="preserve"> note 43 at </w:t>
      </w:r>
      <w:r w:rsidRPr="005602A7">
        <w:rPr>
          <w:rFonts w:ascii="Garamond" w:hAnsi="Garamond"/>
          <w:lang w:val="en-US"/>
        </w:rPr>
        <w:t>17.</w:t>
      </w:r>
    </w:p>
  </w:footnote>
  <w:footnote w:id="75">
    <w:p w14:paraId="52F8C3EA" w14:textId="155A9B4F" w:rsidR="00FF120A" w:rsidRPr="005602A7" w:rsidRDefault="00FF120A"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Besson, </w:t>
      </w:r>
      <w:r w:rsidR="00F07709" w:rsidRPr="005602A7">
        <w:rPr>
          <w:rFonts w:ascii="Garamond" w:hAnsi="Garamond"/>
          <w:i/>
          <w:iCs/>
        </w:rPr>
        <w:t xml:space="preserve">supra </w:t>
      </w:r>
      <w:r w:rsidR="00F07709" w:rsidRPr="005602A7">
        <w:rPr>
          <w:rFonts w:ascii="Garamond" w:hAnsi="Garamond"/>
        </w:rPr>
        <w:t>note 12 at</w:t>
      </w:r>
      <w:r w:rsidRPr="005602A7">
        <w:rPr>
          <w:rFonts w:ascii="Garamond" w:hAnsi="Garamond"/>
        </w:rPr>
        <w:t xml:space="preserve"> 137. Besson further distinguishes the nature of this concept from legal sovereignty and political sovereignty – which relate to the object of sovereignty; </w:t>
      </w:r>
      <w:proofErr w:type="spellStart"/>
      <w:r w:rsidRPr="005602A7">
        <w:rPr>
          <w:rFonts w:ascii="Garamond" w:hAnsi="Garamond"/>
          <w:lang w:val="en-US"/>
        </w:rPr>
        <w:t>Dyzenhaus</w:t>
      </w:r>
      <w:proofErr w:type="spellEnd"/>
      <w:r w:rsidRPr="005602A7">
        <w:rPr>
          <w:rFonts w:ascii="Garamond" w:hAnsi="Garamond"/>
          <w:lang w:val="en-US"/>
        </w:rPr>
        <w:t xml:space="preserve">, </w:t>
      </w:r>
      <w:r w:rsidRPr="005602A7">
        <w:rPr>
          <w:rFonts w:ascii="Garamond" w:hAnsi="Garamond"/>
          <w:i/>
          <w:iCs/>
          <w:lang w:val="en-US"/>
        </w:rPr>
        <w:t>Introduction, in</w:t>
      </w:r>
      <w:r w:rsidRPr="005602A7">
        <w:rPr>
          <w:rFonts w:ascii="Garamond" w:hAnsi="Garamond"/>
          <w:lang w:val="en-US"/>
        </w:rPr>
        <w:t xml:space="preserve"> </w:t>
      </w:r>
      <w:r w:rsidRPr="005602A7">
        <w:rPr>
          <w:rFonts w:ascii="Garamond" w:hAnsi="Garamond"/>
          <w:smallCaps/>
          <w:lang w:val="en-US"/>
        </w:rPr>
        <w:t>Sovereignty,</w:t>
      </w:r>
      <w:r w:rsidRPr="005602A7">
        <w:rPr>
          <w:rFonts w:ascii="Garamond" w:hAnsi="Garamond"/>
          <w:lang w:val="en-US"/>
        </w:rPr>
        <w:t xml:space="preserve"> </w:t>
      </w:r>
      <w:r w:rsidR="00BA5177" w:rsidRPr="005602A7">
        <w:rPr>
          <w:rFonts w:ascii="Garamond" w:hAnsi="Garamond"/>
          <w:i/>
          <w:iCs/>
          <w:lang w:val="en-US"/>
        </w:rPr>
        <w:t>supra</w:t>
      </w:r>
      <w:r w:rsidR="00BA5177" w:rsidRPr="005602A7">
        <w:rPr>
          <w:rFonts w:ascii="Garamond" w:hAnsi="Garamond"/>
          <w:lang w:val="en-US"/>
        </w:rPr>
        <w:t xml:space="preserve"> note 43 at </w:t>
      </w:r>
      <w:r w:rsidRPr="005602A7">
        <w:rPr>
          <w:rFonts w:ascii="Garamond" w:hAnsi="Garamond"/>
          <w:lang w:val="en-US"/>
        </w:rPr>
        <w:t xml:space="preserve">17. </w:t>
      </w:r>
    </w:p>
  </w:footnote>
  <w:footnote w:id="76">
    <w:p w14:paraId="2C80D7F4" w14:textId="1D21CDA4" w:rsidR="00FF120A" w:rsidRPr="005602A7" w:rsidRDefault="00FF120A" w:rsidP="001340AF">
      <w:pPr>
        <w:pStyle w:val="FootnoteText"/>
        <w:jc w:val="both"/>
        <w:rPr>
          <w:rFonts w:ascii="Garamond" w:hAnsi="Garamond"/>
          <w:lang w:val="en-US"/>
        </w:rPr>
      </w:pPr>
      <w:r w:rsidRPr="005602A7">
        <w:rPr>
          <w:rStyle w:val="FootnoteReference"/>
          <w:rFonts w:ascii="Garamond" w:hAnsi="Garamond"/>
        </w:rPr>
        <w:footnoteRef/>
      </w:r>
      <w:r w:rsidRPr="005602A7">
        <w:rPr>
          <w:rStyle w:val="FootnoteReference"/>
          <w:rFonts w:ascii="Garamond" w:hAnsi="Garamond"/>
        </w:rPr>
        <w:t xml:space="preserve"> </w:t>
      </w:r>
      <w:proofErr w:type="spellStart"/>
      <w:r w:rsidRPr="005602A7">
        <w:rPr>
          <w:rFonts w:ascii="Garamond" w:hAnsi="Garamond"/>
          <w:lang w:val="en-US"/>
        </w:rPr>
        <w:t>Dyzenhaus</w:t>
      </w:r>
      <w:proofErr w:type="spellEnd"/>
      <w:r w:rsidRPr="005602A7">
        <w:rPr>
          <w:rFonts w:ascii="Garamond" w:hAnsi="Garamond"/>
          <w:lang w:val="en-US"/>
        </w:rPr>
        <w:t xml:space="preserve">, </w:t>
      </w:r>
      <w:r w:rsidRPr="005602A7">
        <w:rPr>
          <w:rFonts w:ascii="Garamond" w:hAnsi="Garamond"/>
          <w:i/>
          <w:iCs/>
          <w:lang w:val="en-US"/>
        </w:rPr>
        <w:t>Introduction, in</w:t>
      </w:r>
      <w:r w:rsidRPr="005602A7">
        <w:rPr>
          <w:rFonts w:ascii="Garamond" w:hAnsi="Garamond"/>
          <w:lang w:val="en-US"/>
        </w:rPr>
        <w:t xml:space="preserve"> </w:t>
      </w:r>
      <w:r w:rsidRPr="005602A7">
        <w:rPr>
          <w:rFonts w:ascii="Garamond" w:hAnsi="Garamond"/>
          <w:smallCaps/>
          <w:lang w:val="en-US"/>
        </w:rPr>
        <w:t>Sovereignty,</w:t>
      </w:r>
      <w:r w:rsidR="00BA5177" w:rsidRPr="005602A7">
        <w:rPr>
          <w:rFonts w:ascii="Garamond" w:hAnsi="Garamond"/>
          <w:lang w:val="en-US"/>
        </w:rPr>
        <w:t xml:space="preserve"> </w:t>
      </w:r>
      <w:r w:rsidR="00BA5177" w:rsidRPr="005602A7">
        <w:rPr>
          <w:rFonts w:ascii="Garamond" w:hAnsi="Garamond"/>
          <w:i/>
          <w:iCs/>
          <w:lang w:val="en-US"/>
        </w:rPr>
        <w:t>supra</w:t>
      </w:r>
      <w:r w:rsidR="00BA5177" w:rsidRPr="005602A7">
        <w:rPr>
          <w:rFonts w:ascii="Garamond" w:hAnsi="Garamond"/>
          <w:lang w:val="en-US"/>
        </w:rPr>
        <w:t xml:space="preserve"> note 43 at </w:t>
      </w:r>
      <w:r w:rsidRPr="005602A7">
        <w:rPr>
          <w:rFonts w:ascii="Garamond" w:hAnsi="Garamond"/>
          <w:lang w:val="en-US"/>
        </w:rPr>
        <w:t xml:space="preserve">17. </w:t>
      </w:r>
    </w:p>
  </w:footnote>
  <w:footnote w:id="77">
    <w:p w14:paraId="38089AF3" w14:textId="442723A5" w:rsidR="00FF120A" w:rsidRPr="005602A7" w:rsidRDefault="00FF120A"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Although the Weimar debates between </w:t>
      </w:r>
      <w:proofErr w:type="spellStart"/>
      <w:r w:rsidRPr="005602A7">
        <w:rPr>
          <w:rFonts w:ascii="Garamond" w:hAnsi="Garamond"/>
        </w:rPr>
        <w:t>kelsen</w:t>
      </w:r>
      <w:proofErr w:type="spellEnd"/>
      <w:r w:rsidRPr="005602A7">
        <w:rPr>
          <w:rFonts w:ascii="Garamond" w:hAnsi="Garamond"/>
        </w:rPr>
        <w:t xml:space="preserve">, heller and Schmitt had a different context, they nevertheless responded to social pressures that still exist - the capture of institutions and ‘foreign control over important aspects of domestic policy, and so the way they grappled with sovereignty’s normative and empirical dimensions (the authority and power aspects) are relevant for current IL debates as well at least from the perspective of identifying the most effective method of resolving a paradox. See </w:t>
      </w:r>
      <w:proofErr w:type="spellStart"/>
      <w:r w:rsidR="004E06CC" w:rsidRPr="005602A7">
        <w:rPr>
          <w:rFonts w:ascii="Garamond" w:hAnsi="Garamond"/>
        </w:rPr>
        <w:t>Dyzenhaus</w:t>
      </w:r>
      <w:proofErr w:type="spellEnd"/>
      <w:r w:rsidR="004E06CC" w:rsidRPr="005602A7">
        <w:rPr>
          <w:rFonts w:ascii="Garamond" w:hAnsi="Garamond"/>
        </w:rPr>
        <w:t xml:space="preserve">, </w:t>
      </w:r>
      <w:r w:rsidR="004E06CC" w:rsidRPr="005602A7">
        <w:rPr>
          <w:rFonts w:ascii="Garamond" w:hAnsi="Garamond"/>
          <w:i/>
          <w:iCs/>
        </w:rPr>
        <w:t xml:space="preserve">Kelsen, Heller and Schmitt </w:t>
      </w:r>
      <w:r w:rsidR="00703CCF" w:rsidRPr="005602A7">
        <w:rPr>
          <w:rFonts w:ascii="Garamond" w:hAnsi="Garamond"/>
          <w:i/>
          <w:iCs/>
        </w:rPr>
        <w:t xml:space="preserve">supra </w:t>
      </w:r>
      <w:r w:rsidR="00703CCF" w:rsidRPr="005602A7">
        <w:rPr>
          <w:rFonts w:ascii="Garamond" w:hAnsi="Garamond"/>
        </w:rPr>
        <w:t>note 52 at</w:t>
      </w:r>
      <w:r w:rsidRPr="005602A7">
        <w:rPr>
          <w:rFonts w:ascii="Garamond" w:hAnsi="Garamond"/>
        </w:rPr>
        <w:t xml:space="preserve"> 340</w:t>
      </w:r>
      <w:r w:rsidR="00703CCF" w:rsidRPr="005602A7">
        <w:rPr>
          <w:rFonts w:ascii="Garamond" w:hAnsi="Garamond"/>
        </w:rPr>
        <w:t>;</w:t>
      </w:r>
      <w:r w:rsidRPr="005602A7">
        <w:rPr>
          <w:rFonts w:ascii="Garamond" w:hAnsi="Garamond"/>
        </w:rPr>
        <w:t xml:space="preserve"> and </w:t>
      </w:r>
      <w:proofErr w:type="spellStart"/>
      <w:r w:rsidRPr="005602A7">
        <w:rPr>
          <w:rFonts w:ascii="Garamond" w:hAnsi="Garamond"/>
          <w:lang w:val="en-US"/>
        </w:rPr>
        <w:t>Dyzenhaus</w:t>
      </w:r>
      <w:proofErr w:type="spellEnd"/>
      <w:r w:rsidRPr="005602A7">
        <w:rPr>
          <w:rFonts w:ascii="Garamond" w:hAnsi="Garamond"/>
          <w:lang w:val="en-US"/>
        </w:rPr>
        <w:t xml:space="preserve">, </w:t>
      </w:r>
      <w:r w:rsidRPr="005602A7">
        <w:rPr>
          <w:rFonts w:ascii="Garamond" w:hAnsi="Garamond"/>
          <w:i/>
          <w:iCs/>
          <w:lang w:val="en-US"/>
        </w:rPr>
        <w:t>Introduction, in</w:t>
      </w:r>
      <w:r w:rsidRPr="005602A7">
        <w:rPr>
          <w:rFonts w:ascii="Garamond" w:hAnsi="Garamond"/>
          <w:lang w:val="en-US"/>
        </w:rPr>
        <w:t xml:space="preserve"> </w:t>
      </w:r>
      <w:r w:rsidRPr="005602A7">
        <w:rPr>
          <w:rFonts w:ascii="Garamond" w:hAnsi="Garamond"/>
          <w:smallCaps/>
          <w:lang w:val="en-US"/>
        </w:rPr>
        <w:t>Sovereignty,</w:t>
      </w:r>
      <w:r w:rsidRPr="005602A7">
        <w:rPr>
          <w:rFonts w:ascii="Garamond" w:hAnsi="Garamond"/>
          <w:lang w:val="en-US"/>
        </w:rPr>
        <w:t xml:space="preserve"> </w:t>
      </w:r>
      <w:r w:rsidR="00BA5177" w:rsidRPr="005602A7">
        <w:rPr>
          <w:rFonts w:ascii="Garamond" w:hAnsi="Garamond"/>
          <w:i/>
          <w:iCs/>
          <w:lang w:val="en-US"/>
        </w:rPr>
        <w:t>supra</w:t>
      </w:r>
      <w:r w:rsidR="00BA5177" w:rsidRPr="005602A7">
        <w:rPr>
          <w:rFonts w:ascii="Garamond" w:hAnsi="Garamond"/>
          <w:lang w:val="en-US"/>
        </w:rPr>
        <w:t xml:space="preserve"> note 43 at </w:t>
      </w:r>
      <w:r w:rsidRPr="005602A7">
        <w:rPr>
          <w:rFonts w:ascii="Garamond" w:hAnsi="Garamond"/>
          <w:lang w:val="en-US"/>
        </w:rPr>
        <w:t xml:space="preserve">17. </w:t>
      </w:r>
    </w:p>
  </w:footnote>
  <w:footnote w:id="78">
    <w:p w14:paraId="3D2D39A3" w14:textId="53FB06B2" w:rsidR="00FF120A" w:rsidRPr="005602A7" w:rsidRDefault="00FF120A"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F07709" w:rsidRPr="005602A7">
        <w:rPr>
          <w:rFonts w:ascii="Garamond" w:hAnsi="Garamond"/>
        </w:rPr>
        <w:t xml:space="preserve">Besson, </w:t>
      </w:r>
      <w:r w:rsidR="00F07709" w:rsidRPr="005602A7">
        <w:rPr>
          <w:rFonts w:ascii="Garamond" w:hAnsi="Garamond"/>
          <w:i/>
          <w:iCs/>
        </w:rPr>
        <w:t xml:space="preserve">supra </w:t>
      </w:r>
      <w:r w:rsidR="00F07709" w:rsidRPr="005602A7">
        <w:rPr>
          <w:rFonts w:ascii="Garamond" w:hAnsi="Garamond"/>
        </w:rPr>
        <w:t xml:space="preserve">note 12 at </w:t>
      </w:r>
      <w:r w:rsidRPr="005602A7">
        <w:rPr>
          <w:rFonts w:ascii="Garamond" w:hAnsi="Garamond"/>
          <w:lang w:val="en-US"/>
        </w:rPr>
        <w:t>143.</w:t>
      </w:r>
    </w:p>
  </w:footnote>
  <w:footnote w:id="79">
    <w:p w14:paraId="0B09087F" w14:textId="77777777" w:rsidR="00FF120A" w:rsidRPr="005602A7" w:rsidRDefault="00FF120A"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Lars </w:t>
      </w:r>
      <w:proofErr w:type="spellStart"/>
      <w:r w:rsidRPr="005602A7">
        <w:rPr>
          <w:rFonts w:ascii="Garamond" w:hAnsi="Garamond"/>
        </w:rPr>
        <w:t>Vinx</w:t>
      </w:r>
      <w:proofErr w:type="spellEnd"/>
      <w:r w:rsidRPr="005602A7">
        <w:rPr>
          <w:rFonts w:ascii="Garamond" w:hAnsi="Garamond"/>
        </w:rPr>
        <w:t>, ‘</w:t>
      </w:r>
      <w:r w:rsidRPr="005602A7">
        <w:rPr>
          <w:rFonts w:ascii="Garamond" w:hAnsi="Garamond"/>
          <w:i/>
          <w:iCs/>
        </w:rPr>
        <w:t>Carl Schmitt</w:t>
      </w:r>
      <w:r w:rsidRPr="005602A7">
        <w:rPr>
          <w:rFonts w:ascii="Garamond" w:hAnsi="Garamond"/>
        </w:rPr>
        <w:t xml:space="preserve">’, </w:t>
      </w:r>
      <w:r w:rsidRPr="005602A7">
        <w:rPr>
          <w:rFonts w:ascii="Garamond" w:hAnsi="Garamond"/>
          <w:smallCaps/>
        </w:rPr>
        <w:t xml:space="preserve">Stanford </w:t>
      </w:r>
      <w:proofErr w:type="spellStart"/>
      <w:r w:rsidRPr="005602A7">
        <w:rPr>
          <w:rFonts w:ascii="Garamond" w:hAnsi="Garamond"/>
          <w:smallCaps/>
        </w:rPr>
        <w:t>Encyclopedia</w:t>
      </w:r>
      <w:proofErr w:type="spellEnd"/>
      <w:r w:rsidRPr="005602A7">
        <w:rPr>
          <w:rFonts w:ascii="Garamond" w:hAnsi="Garamond"/>
          <w:smallCaps/>
        </w:rPr>
        <w:t xml:space="preserve"> of Philosophy</w:t>
      </w:r>
      <w:r w:rsidRPr="005602A7">
        <w:rPr>
          <w:rFonts w:ascii="Garamond" w:hAnsi="Garamond"/>
        </w:rPr>
        <w:t>, (last updated Aug 29, 2019), available at: https://plato.stanford.edu/index.html.</w:t>
      </w:r>
    </w:p>
  </w:footnote>
  <w:footnote w:id="80">
    <w:p w14:paraId="7497A149" w14:textId="727C998B" w:rsidR="00FF120A" w:rsidRPr="005602A7" w:rsidRDefault="00FF120A"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proofErr w:type="spellStart"/>
      <w:r w:rsidR="004E06CC" w:rsidRPr="005602A7">
        <w:rPr>
          <w:rFonts w:ascii="Garamond" w:hAnsi="Garamond"/>
        </w:rPr>
        <w:t>Dyzenhaus</w:t>
      </w:r>
      <w:proofErr w:type="spellEnd"/>
      <w:r w:rsidR="004E06CC" w:rsidRPr="005602A7">
        <w:rPr>
          <w:rFonts w:ascii="Garamond" w:hAnsi="Garamond"/>
        </w:rPr>
        <w:t xml:space="preserve">, </w:t>
      </w:r>
      <w:r w:rsidR="004E06CC" w:rsidRPr="005602A7">
        <w:rPr>
          <w:rFonts w:ascii="Garamond" w:hAnsi="Garamond"/>
          <w:i/>
          <w:iCs/>
        </w:rPr>
        <w:t xml:space="preserve">Kelsen, Heller and Schmitt, </w:t>
      </w:r>
      <w:r w:rsidR="00703CCF" w:rsidRPr="005602A7">
        <w:rPr>
          <w:rFonts w:ascii="Garamond" w:hAnsi="Garamond"/>
          <w:i/>
          <w:iCs/>
        </w:rPr>
        <w:t xml:space="preserve">supra </w:t>
      </w:r>
      <w:r w:rsidR="00703CCF" w:rsidRPr="005602A7">
        <w:rPr>
          <w:rFonts w:ascii="Garamond" w:hAnsi="Garamond"/>
        </w:rPr>
        <w:t>note 52 at</w:t>
      </w:r>
      <w:r w:rsidRPr="005602A7">
        <w:rPr>
          <w:rFonts w:ascii="Garamond" w:hAnsi="Garamond"/>
        </w:rPr>
        <w:t xml:space="preserve"> 341. </w:t>
      </w:r>
    </w:p>
  </w:footnote>
  <w:footnote w:id="81">
    <w:p w14:paraId="7855FC36" w14:textId="75150A60" w:rsidR="00E40536" w:rsidRPr="005602A7" w:rsidRDefault="00E40536"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914522" w:rsidRPr="005602A7">
        <w:rPr>
          <w:rFonts w:ascii="Garamond" w:hAnsi="Garamond"/>
          <w:lang w:val="en-US"/>
        </w:rPr>
        <w:t>Pellet,</w:t>
      </w:r>
      <w:r w:rsidR="00BA5177" w:rsidRPr="005602A7">
        <w:rPr>
          <w:rFonts w:ascii="Garamond" w:hAnsi="Garamond"/>
          <w:i/>
          <w:iCs/>
          <w:lang w:val="en-US"/>
        </w:rPr>
        <w:t xml:space="preserve"> The Normative Dilemma: Will and Consent in International Law-Making,</w:t>
      </w:r>
      <w:r w:rsidR="00914522" w:rsidRPr="005602A7">
        <w:rPr>
          <w:rFonts w:ascii="Garamond" w:hAnsi="Garamond"/>
          <w:lang w:val="en-US"/>
        </w:rPr>
        <w:t xml:space="preserve"> </w:t>
      </w:r>
      <w:r w:rsidR="005C1F61" w:rsidRPr="005602A7">
        <w:rPr>
          <w:rFonts w:ascii="Garamond" w:hAnsi="Garamond"/>
          <w:i/>
          <w:iCs/>
          <w:lang w:val="en-US"/>
        </w:rPr>
        <w:t xml:space="preserve">supra </w:t>
      </w:r>
      <w:r w:rsidR="005C1F61" w:rsidRPr="005602A7">
        <w:rPr>
          <w:rFonts w:ascii="Garamond" w:hAnsi="Garamond"/>
          <w:lang w:val="en-US"/>
        </w:rPr>
        <w:t xml:space="preserve">note 68 at </w:t>
      </w:r>
      <w:r w:rsidR="00914522" w:rsidRPr="005602A7">
        <w:rPr>
          <w:rFonts w:ascii="Garamond" w:hAnsi="Garamond"/>
          <w:lang w:val="en-US"/>
        </w:rPr>
        <w:t>26</w:t>
      </w:r>
      <w:r w:rsidR="005C1F61" w:rsidRPr="005602A7">
        <w:rPr>
          <w:rFonts w:ascii="Garamond" w:hAnsi="Garamond"/>
          <w:lang w:val="en-US"/>
        </w:rPr>
        <w:t xml:space="preserve">. </w:t>
      </w:r>
    </w:p>
  </w:footnote>
  <w:footnote w:id="82">
    <w:p w14:paraId="496C6891" w14:textId="78B9F918" w:rsidR="00EF26A9" w:rsidRPr="005602A7" w:rsidRDefault="00EF26A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BA5177" w:rsidRPr="005602A7">
        <w:rPr>
          <w:rFonts w:ascii="Garamond" w:hAnsi="Garamond"/>
        </w:rPr>
        <w:t xml:space="preserve">Klabbers, </w:t>
      </w:r>
      <w:r w:rsidR="00BA5177" w:rsidRPr="005602A7">
        <w:rPr>
          <w:rFonts w:ascii="Garamond" w:hAnsi="Garamond"/>
          <w:i/>
          <w:iCs/>
        </w:rPr>
        <w:t>Clinching the Concept of Sovereignty, Wimbledon Redux,</w:t>
      </w:r>
      <w:r w:rsidR="00703CCF"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note 63 at</w:t>
      </w:r>
      <w:r w:rsidR="00647451" w:rsidRPr="005602A7">
        <w:rPr>
          <w:rFonts w:ascii="Garamond" w:hAnsi="Garamond"/>
          <w:lang w:val="en-US"/>
        </w:rPr>
        <w:t xml:space="preserve"> </w:t>
      </w:r>
      <w:r w:rsidRPr="005602A7">
        <w:rPr>
          <w:rFonts w:ascii="Garamond" w:hAnsi="Garamond"/>
        </w:rPr>
        <w:t>365</w:t>
      </w:r>
      <w:r w:rsidR="00A66E1E" w:rsidRPr="005602A7">
        <w:rPr>
          <w:rFonts w:ascii="Garamond" w:hAnsi="Garamond"/>
        </w:rPr>
        <w:t>-</w:t>
      </w:r>
      <w:r w:rsidRPr="005602A7">
        <w:rPr>
          <w:rFonts w:ascii="Garamond" w:hAnsi="Garamond"/>
        </w:rPr>
        <w:t>366.</w:t>
      </w:r>
    </w:p>
  </w:footnote>
  <w:footnote w:id="83">
    <w:p w14:paraId="63DE381A" w14:textId="132AD006" w:rsidR="001A4843" w:rsidRPr="005602A7" w:rsidRDefault="001A4843" w:rsidP="001340AF">
      <w:pPr>
        <w:pStyle w:val="FootnoteText"/>
        <w:jc w:val="both"/>
        <w:rPr>
          <w:rFonts w:ascii="Garamond" w:hAnsi="Garamond"/>
        </w:rPr>
      </w:pPr>
      <w:r w:rsidRPr="005602A7">
        <w:rPr>
          <w:rStyle w:val="FootnoteReference"/>
          <w:rFonts w:ascii="Garamond" w:hAnsi="Garamond"/>
        </w:rPr>
        <w:footnoteRef/>
      </w:r>
      <w:r w:rsidR="00185DA8" w:rsidRPr="005602A7">
        <w:rPr>
          <w:rFonts w:ascii="Garamond" w:hAnsi="Garamond"/>
        </w:rPr>
        <w:t xml:space="preserve"> </w:t>
      </w:r>
      <w:r w:rsidR="008B5681" w:rsidRPr="005602A7">
        <w:rPr>
          <w:rFonts w:ascii="Garamond" w:hAnsi="Garamond"/>
        </w:rPr>
        <w:t xml:space="preserve">Dissenting Opinion Judge </w:t>
      </w:r>
      <w:proofErr w:type="spellStart"/>
      <w:r w:rsidR="008B5681" w:rsidRPr="005602A7">
        <w:rPr>
          <w:rFonts w:ascii="Garamond" w:hAnsi="Garamond"/>
        </w:rPr>
        <w:t>Shahabuddeen</w:t>
      </w:r>
      <w:proofErr w:type="spellEnd"/>
      <w:r w:rsidR="008B5681" w:rsidRPr="005602A7">
        <w:rPr>
          <w:rFonts w:ascii="Garamond" w:hAnsi="Garamond"/>
        </w:rPr>
        <w:t>, Legality of the Threat or Use of Nuclear Weapons, Advisory Opinion, [1996] ICJ Rep 226, a</w:t>
      </w:r>
      <w:r w:rsidR="009A39CB" w:rsidRPr="005602A7">
        <w:rPr>
          <w:rFonts w:ascii="Garamond" w:hAnsi="Garamond"/>
        </w:rPr>
        <w:t xml:space="preserve">t </w:t>
      </w:r>
      <w:r w:rsidR="00156F1C" w:rsidRPr="005602A7">
        <w:rPr>
          <w:rFonts w:ascii="Garamond" w:hAnsi="Garamond"/>
        </w:rPr>
        <w:t>393</w:t>
      </w:r>
      <w:r w:rsidR="00A66E1E" w:rsidRPr="005602A7">
        <w:rPr>
          <w:rFonts w:ascii="Garamond" w:hAnsi="Garamond"/>
        </w:rPr>
        <w:t>.</w:t>
      </w:r>
    </w:p>
  </w:footnote>
  <w:footnote w:id="84">
    <w:p w14:paraId="5E3B913D" w14:textId="3BA8E8EE" w:rsidR="00042131" w:rsidRPr="005602A7" w:rsidRDefault="00042131"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9A39CB" w:rsidRPr="005602A7">
        <w:rPr>
          <w:rFonts w:ascii="Garamond" w:hAnsi="Garamond"/>
        </w:rPr>
        <w:t xml:space="preserve">Maris </w:t>
      </w:r>
      <w:proofErr w:type="spellStart"/>
      <w:r w:rsidR="009A39CB" w:rsidRPr="005602A7">
        <w:rPr>
          <w:rFonts w:ascii="Garamond" w:hAnsi="Garamond"/>
        </w:rPr>
        <w:t>Kopcke</w:t>
      </w:r>
      <w:proofErr w:type="spellEnd"/>
      <w:r w:rsidR="009A39CB" w:rsidRPr="005602A7">
        <w:rPr>
          <w:rFonts w:ascii="Garamond" w:hAnsi="Garamond"/>
        </w:rPr>
        <w:t xml:space="preserve">, </w:t>
      </w:r>
      <w:r w:rsidR="009A39CB" w:rsidRPr="005602A7">
        <w:rPr>
          <w:rFonts w:ascii="Garamond" w:hAnsi="Garamond"/>
          <w:i/>
          <w:iCs/>
        </w:rPr>
        <w:t>Law and the Limits of Sovereign Power,</w:t>
      </w:r>
      <w:r w:rsidR="009A39CB" w:rsidRPr="005602A7">
        <w:rPr>
          <w:rFonts w:ascii="Garamond" w:hAnsi="Garamond"/>
        </w:rPr>
        <w:t xml:space="preserve"> </w:t>
      </w:r>
      <w:r w:rsidR="001D0313" w:rsidRPr="005602A7">
        <w:rPr>
          <w:rFonts w:ascii="Garamond" w:hAnsi="Garamond"/>
        </w:rPr>
        <w:t xml:space="preserve">66(1) </w:t>
      </w:r>
      <w:r w:rsidR="009A39CB" w:rsidRPr="005602A7">
        <w:rPr>
          <w:rFonts w:ascii="Garamond" w:hAnsi="Garamond"/>
          <w:smallCaps/>
        </w:rPr>
        <w:t>The American Journal of Jurisprudence</w:t>
      </w:r>
      <w:r w:rsidR="009A39CB" w:rsidRPr="005602A7">
        <w:rPr>
          <w:rFonts w:ascii="Garamond" w:hAnsi="Garamond"/>
        </w:rPr>
        <w:t xml:space="preserve">, (2021) at 115, </w:t>
      </w:r>
      <w:r w:rsidR="009A39CB" w:rsidRPr="005602A7">
        <w:rPr>
          <w:rFonts w:ascii="Garamond" w:hAnsi="Garamond"/>
          <w:lang w:val="en-US"/>
        </w:rPr>
        <w:t>127.</w:t>
      </w:r>
    </w:p>
  </w:footnote>
  <w:footnote w:id="85">
    <w:p w14:paraId="01403E6C" w14:textId="741B647F" w:rsidR="003F5DFC" w:rsidRPr="005602A7" w:rsidRDefault="003F5DFC"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I use these words interchangeably. The independence or freedom from interference given to states in the internal sphere is </w:t>
      </w:r>
      <w:r w:rsidR="001C399C" w:rsidRPr="005602A7">
        <w:rPr>
          <w:rFonts w:ascii="Garamond" w:hAnsi="Garamond"/>
          <w:lang w:val="en-US"/>
        </w:rPr>
        <w:t>synonymous with the autonomy of the state.</w:t>
      </w:r>
    </w:p>
  </w:footnote>
  <w:footnote w:id="86">
    <w:p w14:paraId="2497EA4C" w14:textId="2B6ADB4E" w:rsidR="00275898" w:rsidRPr="005602A7" w:rsidRDefault="00275898"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703CCF" w:rsidRPr="005602A7">
        <w:rPr>
          <w:rFonts w:ascii="Garamond" w:hAnsi="Garamond"/>
        </w:rPr>
        <w:t>Endicott,</w:t>
      </w:r>
      <w:r w:rsidR="00BA5177" w:rsidRPr="005602A7">
        <w:rPr>
          <w:rFonts w:ascii="Garamond" w:hAnsi="Garamond"/>
        </w:rPr>
        <w:t xml:space="preserve"> </w:t>
      </w:r>
      <w:r w:rsidR="00BA5177" w:rsidRPr="005602A7">
        <w:rPr>
          <w:rFonts w:ascii="Garamond" w:hAnsi="Garamond"/>
          <w:i/>
          <w:iCs/>
        </w:rPr>
        <w:t>The Logic of Freedom and Power,</w:t>
      </w:r>
      <w:r w:rsidR="00BA5177" w:rsidRPr="005602A7">
        <w:rPr>
          <w:rFonts w:ascii="Garamond" w:hAnsi="Garamond"/>
        </w:rPr>
        <w:t xml:space="preserve"> </w:t>
      </w:r>
      <w:r w:rsidR="00703CCF" w:rsidRPr="005602A7">
        <w:rPr>
          <w:rFonts w:ascii="Garamond" w:hAnsi="Garamond"/>
          <w:i/>
          <w:iCs/>
        </w:rPr>
        <w:t>supra</w:t>
      </w:r>
      <w:r w:rsidR="00703CCF" w:rsidRPr="005602A7">
        <w:rPr>
          <w:rFonts w:ascii="Garamond" w:hAnsi="Garamond"/>
        </w:rPr>
        <w:t xml:space="preserve"> note 55 at</w:t>
      </w:r>
      <w:r w:rsidR="00445E08" w:rsidRPr="005602A7">
        <w:rPr>
          <w:rFonts w:ascii="Garamond" w:hAnsi="Garamond"/>
        </w:rPr>
        <w:t xml:space="preserve"> 247</w:t>
      </w:r>
      <w:r w:rsidR="00D62A59" w:rsidRPr="005602A7">
        <w:rPr>
          <w:rFonts w:ascii="Garamond" w:hAnsi="Garamond"/>
          <w:lang w:val="en-US"/>
        </w:rPr>
        <w:t>.</w:t>
      </w:r>
    </w:p>
  </w:footnote>
  <w:footnote w:id="87">
    <w:p w14:paraId="32DF61C5" w14:textId="60C01FC7" w:rsidR="0058482C" w:rsidRPr="005602A7" w:rsidRDefault="0058482C"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Endicott</w:t>
      </w:r>
      <w:r w:rsidR="00BA5177" w:rsidRPr="005602A7">
        <w:rPr>
          <w:rFonts w:ascii="Garamond" w:hAnsi="Garamond"/>
          <w:lang w:val="en-US"/>
        </w:rPr>
        <w:t xml:space="preserve">, </w:t>
      </w:r>
      <w:r w:rsidR="00BA5177" w:rsidRPr="005602A7">
        <w:rPr>
          <w:rFonts w:ascii="Garamond" w:hAnsi="Garamond"/>
          <w:i/>
          <w:iCs/>
        </w:rPr>
        <w:t>The Logic of Freedom and Power, supra</w:t>
      </w:r>
      <w:r w:rsidR="00BA5177" w:rsidRPr="005602A7">
        <w:rPr>
          <w:rFonts w:ascii="Garamond" w:hAnsi="Garamond"/>
        </w:rPr>
        <w:t xml:space="preserve"> note 55.</w:t>
      </w:r>
    </w:p>
  </w:footnote>
  <w:footnote w:id="88">
    <w:p w14:paraId="2089914B" w14:textId="145FA019" w:rsidR="00396AC1" w:rsidRPr="005602A7" w:rsidRDefault="00396AC1" w:rsidP="001340AF">
      <w:pPr>
        <w:pStyle w:val="FootnoteText"/>
        <w:jc w:val="both"/>
        <w:rPr>
          <w:rFonts w:ascii="Garamond" w:hAnsi="Garamond"/>
        </w:rPr>
      </w:pPr>
      <w:r w:rsidRPr="005602A7">
        <w:rPr>
          <w:rStyle w:val="FootnoteReference"/>
          <w:rFonts w:ascii="Garamond" w:hAnsi="Garamond"/>
        </w:rPr>
        <w:footnoteRef/>
      </w:r>
      <w:r w:rsidR="009A39CB" w:rsidRPr="005602A7">
        <w:rPr>
          <w:rFonts w:ascii="Garamond" w:hAnsi="Garamond"/>
        </w:rPr>
        <w:t xml:space="preserve"> Samantha</w:t>
      </w:r>
      <w:r w:rsidRPr="005602A7">
        <w:rPr>
          <w:rFonts w:ascii="Garamond" w:hAnsi="Garamond"/>
        </w:rPr>
        <w:t xml:space="preserve"> Besson</w:t>
      </w:r>
      <w:r w:rsidR="009A39CB" w:rsidRPr="005602A7">
        <w:rPr>
          <w:rFonts w:ascii="Garamond" w:hAnsi="Garamond"/>
        </w:rPr>
        <w:t>,</w:t>
      </w:r>
      <w:r w:rsidRPr="005602A7">
        <w:rPr>
          <w:rFonts w:ascii="Garamond" w:hAnsi="Garamond"/>
        </w:rPr>
        <w:t xml:space="preserve"> </w:t>
      </w:r>
      <w:r w:rsidR="009A39CB" w:rsidRPr="005602A7">
        <w:rPr>
          <w:rFonts w:ascii="Garamond" w:hAnsi="Garamond"/>
          <w:i/>
          <w:iCs/>
        </w:rPr>
        <w:t>Sovereignty, International Law and Democracy</w:t>
      </w:r>
      <w:r w:rsidR="009A39CB" w:rsidRPr="005602A7">
        <w:rPr>
          <w:rFonts w:ascii="Garamond" w:hAnsi="Garamond"/>
        </w:rPr>
        <w:t xml:space="preserve">, </w:t>
      </w:r>
      <w:r w:rsidR="001D0313" w:rsidRPr="005602A7">
        <w:rPr>
          <w:rFonts w:ascii="Garamond" w:hAnsi="Garamond"/>
        </w:rPr>
        <w:t xml:space="preserve">22(2) </w:t>
      </w:r>
      <w:r w:rsidR="009A39CB" w:rsidRPr="005602A7">
        <w:rPr>
          <w:rFonts w:ascii="Garamond" w:hAnsi="Garamond"/>
        </w:rPr>
        <w:t xml:space="preserve">EJIL </w:t>
      </w:r>
      <w:r w:rsidR="001D0313" w:rsidRPr="005602A7">
        <w:rPr>
          <w:rFonts w:ascii="Garamond" w:hAnsi="Garamond"/>
        </w:rPr>
        <w:t xml:space="preserve">378 </w:t>
      </w:r>
      <w:r w:rsidR="009A39CB" w:rsidRPr="005602A7">
        <w:rPr>
          <w:rFonts w:ascii="Garamond" w:hAnsi="Garamond"/>
        </w:rPr>
        <w:t>(2011)</w:t>
      </w:r>
      <w:r w:rsidR="001D0313" w:rsidRPr="005602A7">
        <w:rPr>
          <w:rFonts w:ascii="Garamond" w:hAnsi="Garamond"/>
        </w:rPr>
        <w:t>.</w:t>
      </w:r>
    </w:p>
  </w:footnote>
  <w:footnote w:id="89">
    <w:p w14:paraId="1FA45F29" w14:textId="6C096105" w:rsidR="0093470C" w:rsidRPr="005602A7" w:rsidRDefault="0093470C"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0246CF" w:rsidRPr="005602A7">
        <w:rPr>
          <w:rFonts w:ascii="Garamond" w:hAnsi="Garamond"/>
        </w:rPr>
        <w:t xml:space="preserve">Michael J Zimmerman, Ben Bradley, </w:t>
      </w:r>
      <w:r w:rsidR="000246CF" w:rsidRPr="005602A7">
        <w:rPr>
          <w:rFonts w:ascii="Garamond" w:hAnsi="Garamond"/>
          <w:i/>
          <w:iCs/>
        </w:rPr>
        <w:t>Intrinsic v Extrinsic Value</w:t>
      </w:r>
      <w:r w:rsidR="000246CF" w:rsidRPr="005602A7">
        <w:rPr>
          <w:rFonts w:ascii="Garamond" w:hAnsi="Garamond"/>
        </w:rPr>
        <w:t xml:space="preserve">, </w:t>
      </w:r>
      <w:r w:rsidR="000246CF" w:rsidRPr="005602A7">
        <w:rPr>
          <w:rFonts w:ascii="Garamond" w:hAnsi="Garamond"/>
          <w:smallCaps/>
        </w:rPr>
        <w:t xml:space="preserve">Stanford </w:t>
      </w:r>
      <w:proofErr w:type="spellStart"/>
      <w:r w:rsidR="000246CF" w:rsidRPr="005602A7">
        <w:rPr>
          <w:rFonts w:ascii="Garamond" w:hAnsi="Garamond"/>
          <w:smallCaps/>
        </w:rPr>
        <w:t>Encyclopedia</w:t>
      </w:r>
      <w:proofErr w:type="spellEnd"/>
      <w:r w:rsidR="000246CF" w:rsidRPr="005602A7">
        <w:rPr>
          <w:rFonts w:ascii="Garamond" w:hAnsi="Garamond"/>
          <w:smallCaps/>
        </w:rPr>
        <w:t xml:space="preserve"> of International Law</w:t>
      </w:r>
      <w:r w:rsidR="001D0313" w:rsidRPr="005602A7">
        <w:rPr>
          <w:rFonts w:ascii="Garamond" w:hAnsi="Garamond"/>
          <w:smallCaps/>
        </w:rPr>
        <w:t xml:space="preserve"> </w:t>
      </w:r>
      <w:r w:rsidR="001D0313" w:rsidRPr="005602A7">
        <w:rPr>
          <w:rFonts w:ascii="Garamond" w:hAnsi="Garamond"/>
        </w:rPr>
        <w:t>(2019)</w:t>
      </w:r>
      <w:r w:rsidR="00992170" w:rsidRPr="005602A7">
        <w:rPr>
          <w:rFonts w:ascii="Garamond" w:hAnsi="Garamond"/>
          <w:smallCaps/>
        </w:rPr>
        <w:t xml:space="preserve">; </w:t>
      </w:r>
      <w:r w:rsidR="00992170" w:rsidRPr="005602A7">
        <w:rPr>
          <w:rFonts w:ascii="Garamond" w:hAnsi="Garamond"/>
        </w:rPr>
        <w:t xml:space="preserve">John Christman, </w:t>
      </w:r>
      <w:r w:rsidR="00992170" w:rsidRPr="005602A7">
        <w:rPr>
          <w:rFonts w:ascii="Garamond" w:hAnsi="Garamond"/>
          <w:i/>
          <w:iCs/>
        </w:rPr>
        <w:t xml:space="preserve">Autonomy in Moral and Political Philosophy, </w:t>
      </w:r>
      <w:r w:rsidR="00992170" w:rsidRPr="005602A7">
        <w:rPr>
          <w:rFonts w:ascii="Garamond" w:hAnsi="Garamond"/>
          <w:smallCaps/>
        </w:rPr>
        <w:t xml:space="preserve">Stanford </w:t>
      </w:r>
      <w:proofErr w:type="spellStart"/>
      <w:r w:rsidR="00992170" w:rsidRPr="005602A7">
        <w:rPr>
          <w:rFonts w:ascii="Garamond" w:hAnsi="Garamond"/>
          <w:smallCaps/>
        </w:rPr>
        <w:t>Encyclopedia</w:t>
      </w:r>
      <w:proofErr w:type="spellEnd"/>
      <w:r w:rsidR="00992170" w:rsidRPr="005602A7">
        <w:rPr>
          <w:rFonts w:ascii="Garamond" w:hAnsi="Garamond"/>
          <w:smallCaps/>
        </w:rPr>
        <w:t xml:space="preserve"> of International Law </w:t>
      </w:r>
      <w:r w:rsidR="00992170" w:rsidRPr="005602A7">
        <w:rPr>
          <w:rFonts w:ascii="Garamond" w:hAnsi="Garamond"/>
        </w:rPr>
        <w:t>(2020).</w:t>
      </w:r>
    </w:p>
  </w:footnote>
  <w:footnote w:id="90">
    <w:p w14:paraId="428E5C43" w14:textId="5946BF9D" w:rsidR="003E7EDC" w:rsidRPr="005602A7" w:rsidRDefault="003E7EDC"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9A39CB" w:rsidRPr="005602A7">
        <w:rPr>
          <w:rFonts w:ascii="Garamond" w:hAnsi="Garamond"/>
        </w:rPr>
        <w:t>Over here I use the distinction in value propounded by</w:t>
      </w:r>
      <w:r w:rsidR="009A39CB" w:rsidRPr="005602A7">
        <w:rPr>
          <w:rFonts w:ascii="Garamond" w:hAnsi="Garamond"/>
          <w:lang w:val="en-US"/>
        </w:rPr>
        <w:t xml:space="preserve"> Korsgaard. See </w:t>
      </w:r>
      <w:r w:rsidR="000246CF" w:rsidRPr="005602A7">
        <w:rPr>
          <w:rFonts w:ascii="Garamond" w:hAnsi="Garamond"/>
          <w:lang w:val="en-US"/>
        </w:rPr>
        <w:t xml:space="preserve">Christine Korsgaard, </w:t>
      </w:r>
      <w:r w:rsidR="000246CF" w:rsidRPr="005602A7">
        <w:rPr>
          <w:rFonts w:ascii="Garamond" w:hAnsi="Garamond"/>
          <w:i/>
          <w:iCs/>
          <w:lang w:val="en-US"/>
        </w:rPr>
        <w:t>Two distinctions in goodness</w:t>
      </w:r>
      <w:r w:rsidR="001D0313" w:rsidRPr="005602A7">
        <w:rPr>
          <w:rFonts w:ascii="Garamond" w:hAnsi="Garamond"/>
          <w:i/>
          <w:iCs/>
          <w:lang w:val="en-US"/>
        </w:rPr>
        <w:t xml:space="preserve">, </w:t>
      </w:r>
      <w:r w:rsidR="001D0313" w:rsidRPr="005602A7">
        <w:rPr>
          <w:rFonts w:ascii="Garamond" w:hAnsi="Garamond"/>
          <w:lang w:val="en-US"/>
        </w:rPr>
        <w:t>92(2)</w:t>
      </w:r>
      <w:r w:rsidR="000246CF" w:rsidRPr="005602A7">
        <w:rPr>
          <w:rFonts w:ascii="Garamond" w:hAnsi="Garamond"/>
          <w:lang w:val="en-US"/>
        </w:rPr>
        <w:t xml:space="preserve"> </w:t>
      </w:r>
      <w:r w:rsidR="000246CF" w:rsidRPr="005602A7">
        <w:rPr>
          <w:rFonts w:ascii="Garamond" w:hAnsi="Garamond"/>
          <w:smallCaps/>
          <w:lang w:val="en-US"/>
        </w:rPr>
        <w:t>Philosophical Review</w:t>
      </w:r>
      <w:r w:rsidR="000246CF" w:rsidRPr="005602A7">
        <w:rPr>
          <w:rFonts w:ascii="Garamond" w:hAnsi="Garamond"/>
          <w:lang w:val="en-US"/>
        </w:rPr>
        <w:t xml:space="preserve"> 169-195.</w:t>
      </w:r>
    </w:p>
  </w:footnote>
  <w:footnote w:id="91">
    <w:p w14:paraId="56BF3BE8" w14:textId="5171FE82" w:rsidR="004750F9" w:rsidRPr="005602A7" w:rsidRDefault="004750F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1D27A4" w:rsidRPr="005602A7">
        <w:rPr>
          <w:rFonts w:ascii="Garamond" w:hAnsi="Garamond"/>
        </w:rPr>
        <w:t xml:space="preserve">For a detailed account, refer to </w:t>
      </w:r>
      <w:r w:rsidR="00B11B37" w:rsidRPr="005602A7">
        <w:rPr>
          <w:rFonts w:ascii="Garamond" w:hAnsi="Garamond"/>
        </w:rPr>
        <w:t xml:space="preserve">Samantha Besson, </w:t>
      </w:r>
      <w:r w:rsidR="00480A82" w:rsidRPr="005602A7">
        <w:rPr>
          <w:rFonts w:ascii="Garamond" w:hAnsi="Garamond"/>
          <w:i/>
          <w:iCs/>
        </w:rPr>
        <w:t>The Authority of International Law – Lifting the State Veil,</w:t>
      </w:r>
      <w:r w:rsidR="00480A82" w:rsidRPr="005602A7">
        <w:rPr>
          <w:rFonts w:ascii="Garamond" w:hAnsi="Garamond"/>
        </w:rPr>
        <w:t xml:space="preserve"> </w:t>
      </w:r>
      <w:r w:rsidR="001D0313" w:rsidRPr="005602A7">
        <w:rPr>
          <w:rFonts w:ascii="Garamond" w:hAnsi="Garamond"/>
        </w:rPr>
        <w:t xml:space="preserve">31 </w:t>
      </w:r>
      <w:r w:rsidR="00480A82" w:rsidRPr="005602A7">
        <w:rPr>
          <w:rFonts w:ascii="Garamond" w:hAnsi="Garamond"/>
          <w:smallCaps/>
        </w:rPr>
        <w:t>Sydney Law Review,</w:t>
      </w:r>
      <w:r w:rsidR="00480A82" w:rsidRPr="005602A7">
        <w:rPr>
          <w:rFonts w:ascii="Garamond" w:hAnsi="Garamond"/>
        </w:rPr>
        <w:t xml:space="preserve"> p. 343.</w:t>
      </w:r>
    </w:p>
  </w:footnote>
  <w:footnote w:id="92">
    <w:p w14:paraId="27FBA222" w14:textId="78CEC9B7" w:rsidR="000B7A49" w:rsidRPr="005602A7" w:rsidRDefault="000B7A49"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284888" w:rsidRPr="005602A7">
        <w:rPr>
          <w:rFonts w:ascii="Garamond" w:hAnsi="Garamond"/>
        </w:rPr>
        <w:t xml:space="preserve">Besson, </w:t>
      </w:r>
      <w:r w:rsidR="0067431C" w:rsidRPr="005602A7">
        <w:rPr>
          <w:rFonts w:ascii="Garamond" w:hAnsi="Garamond"/>
          <w:i/>
          <w:iCs/>
        </w:rPr>
        <w:t xml:space="preserve">The Authority of International Law, </w:t>
      </w:r>
      <w:r w:rsidR="00015179" w:rsidRPr="005602A7">
        <w:rPr>
          <w:rFonts w:ascii="Garamond" w:hAnsi="Garamond"/>
          <w:i/>
          <w:iCs/>
        </w:rPr>
        <w:t>supra</w:t>
      </w:r>
      <w:r w:rsidR="00015179" w:rsidRPr="005602A7">
        <w:rPr>
          <w:rFonts w:ascii="Garamond" w:hAnsi="Garamond"/>
        </w:rPr>
        <w:t xml:space="preserve"> note 90 at</w:t>
      </w:r>
      <w:r w:rsidR="00284888" w:rsidRPr="005602A7">
        <w:rPr>
          <w:rFonts w:ascii="Garamond" w:hAnsi="Garamond"/>
        </w:rPr>
        <w:t xml:space="preserve"> </w:t>
      </w:r>
      <w:r w:rsidR="00480A82" w:rsidRPr="005602A7">
        <w:rPr>
          <w:rFonts w:ascii="Garamond" w:hAnsi="Garamond"/>
        </w:rPr>
        <w:t>351</w:t>
      </w:r>
      <w:r w:rsidR="00D62A59" w:rsidRPr="005602A7">
        <w:rPr>
          <w:rFonts w:ascii="Garamond" w:hAnsi="Garamond"/>
        </w:rPr>
        <w:t>.</w:t>
      </w:r>
    </w:p>
  </w:footnote>
  <w:footnote w:id="93">
    <w:p w14:paraId="32D085FC" w14:textId="7BCE1675" w:rsidR="0063623E" w:rsidRPr="005602A7" w:rsidRDefault="0063623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480A82" w:rsidRPr="005602A7">
        <w:rPr>
          <w:rFonts w:ascii="Garamond" w:hAnsi="Garamond"/>
        </w:rPr>
        <w:t>Joseph Raz</w:t>
      </w:r>
      <w:r w:rsidR="00B94689" w:rsidRPr="005602A7">
        <w:rPr>
          <w:rFonts w:ascii="Garamond" w:hAnsi="Garamond"/>
        </w:rPr>
        <w:t xml:space="preserve">, </w:t>
      </w:r>
      <w:r w:rsidR="00B94689" w:rsidRPr="005602A7">
        <w:rPr>
          <w:rFonts w:ascii="Garamond" w:hAnsi="Garamond"/>
          <w:i/>
        </w:rPr>
        <w:t>The Problem of Authority: Revisiting the Service Conception</w:t>
      </w:r>
      <w:r w:rsidR="00B94689" w:rsidRPr="005602A7">
        <w:rPr>
          <w:rFonts w:ascii="Garamond" w:hAnsi="Garamond"/>
        </w:rPr>
        <w:t>, 90 MINN. L. REV. 1003</w:t>
      </w:r>
      <w:r w:rsidR="00C14F61" w:rsidRPr="005602A7">
        <w:rPr>
          <w:rFonts w:ascii="Garamond" w:hAnsi="Garamond"/>
        </w:rPr>
        <w:t>, 1014</w:t>
      </w:r>
      <w:r w:rsidR="00B94689" w:rsidRPr="005602A7">
        <w:rPr>
          <w:rFonts w:ascii="Garamond" w:hAnsi="Garamond"/>
        </w:rPr>
        <w:t xml:space="preserve"> (2006)</w:t>
      </w:r>
      <w:r w:rsidR="00914522" w:rsidRPr="005602A7">
        <w:rPr>
          <w:rFonts w:ascii="Garamond" w:hAnsi="Garamond"/>
        </w:rPr>
        <w:t xml:space="preserve">; </w:t>
      </w:r>
      <w:r w:rsidR="007C5565" w:rsidRPr="005602A7">
        <w:rPr>
          <w:rFonts w:ascii="Garamond" w:hAnsi="Garamond"/>
          <w:smallCaps/>
        </w:rPr>
        <w:t>Joseph Raz, Ethics in the Public Domain,</w:t>
      </w:r>
      <w:r w:rsidR="007C5565" w:rsidRPr="005602A7">
        <w:rPr>
          <w:rFonts w:ascii="Garamond" w:hAnsi="Garamond"/>
        </w:rPr>
        <w:t xml:space="preserve"> 214 (Clarendon Paperbacks, 1995).</w:t>
      </w:r>
    </w:p>
  </w:footnote>
  <w:footnote w:id="94">
    <w:p w14:paraId="43C1A795" w14:textId="794E8501" w:rsidR="00CF5F81" w:rsidRPr="005602A7" w:rsidRDefault="00CF5F81"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67431C" w:rsidRPr="005602A7">
        <w:rPr>
          <w:rFonts w:ascii="Garamond" w:hAnsi="Garamond"/>
        </w:rPr>
        <w:t xml:space="preserve">Raz, </w:t>
      </w:r>
      <w:r w:rsidR="0067431C" w:rsidRPr="005602A7">
        <w:rPr>
          <w:rFonts w:ascii="Garamond" w:hAnsi="Garamond"/>
          <w:i/>
        </w:rPr>
        <w:t>The Problem of Authority: Revisiting the Service Conception</w:t>
      </w:r>
      <w:r w:rsidR="0067431C" w:rsidRPr="005602A7">
        <w:rPr>
          <w:rFonts w:ascii="Garamond" w:hAnsi="Garamond"/>
        </w:rPr>
        <w:t xml:space="preserve">, </w:t>
      </w:r>
      <w:r w:rsidR="0067431C" w:rsidRPr="005602A7">
        <w:rPr>
          <w:rFonts w:ascii="Garamond" w:hAnsi="Garamond"/>
          <w:i/>
          <w:iCs/>
        </w:rPr>
        <w:t>supra</w:t>
      </w:r>
      <w:r w:rsidR="0067431C" w:rsidRPr="005602A7">
        <w:rPr>
          <w:rFonts w:ascii="Garamond" w:hAnsi="Garamond"/>
        </w:rPr>
        <w:t xml:space="preserve"> note 92. </w:t>
      </w:r>
    </w:p>
  </w:footnote>
  <w:footnote w:id="95">
    <w:p w14:paraId="06A64FC0" w14:textId="625E0C90" w:rsidR="00D603AE" w:rsidRPr="005602A7" w:rsidRDefault="00D603A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B94689" w:rsidRPr="005602A7">
        <w:rPr>
          <w:rFonts w:ascii="Garamond" w:hAnsi="Garamond"/>
        </w:rPr>
        <w:t xml:space="preserve">Timothy Macklem, </w:t>
      </w:r>
      <w:r w:rsidR="00B94689" w:rsidRPr="005602A7">
        <w:rPr>
          <w:rFonts w:ascii="Garamond" w:hAnsi="Garamond"/>
          <w:i/>
          <w:iCs/>
        </w:rPr>
        <w:t>Appreciating the Limits of the Service Conception of Authority</w:t>
      </w:r>
      <w:r w:rsidR="00B94689" w:rsidRPr="005602A7">
        <w:rPr>
          <w:rFonts w:ascii="Garamond" w:hAnsi="Garamond"/>
        </w:rPr>
        <w:t xml:space="preserve">, </w:t>
      </w:r>
      <w:r w:rsidR="001D0313" w:rsidRPr="005602A7">
        <w:rPr>
          <w:rFonts w:ascii="Garamond" w:hAnsi="Garamond"/>
          <w:i/>
          <w:iCs/>
        </w:rPr>
        <w:t>in</w:t>
      </w:r>
      <w:r w:rsidR="001D0313" w:rsidRPr="005602A7">
        <w:rPr>
          <w:rFonts w:ascii="Garamond" w:hAnsi="Garamond"/>
        </w:rPr>
        <w:t xml:space="preserve"> </w:t>
      </w:r>
      <w:r w:rsidR="00C95CC3" w:rsidRPr="005602A7">
        <w:rPr>
          <w:rFonts w:ascii="Garamond" w:hAnsi="Garamond"/>
          <w:smallCaps/>
        </w:rPr>
        <w:t>Law and Life in Common</w:t>
      </w:r>
      <w:r w:rsidR="00C95CC3" w:rsidRPr="005602A7">
        <w:rPr>
          <w:rFonts w:ascii="Garamond" w:hAnsi="Garamond"/>
        </w:rPr>
        <w:t xml:space="preserve"> (Timothy Macklem, OUP</w:t>
      </w:r>
      <w:r w:rsidR="001D0313" w:rsidRPr="005602A7">
        <w:rPr>
          <w:rFonts w:ascii="Garamond" w:hAnsi="Garamond"/>
        </w:rPr>
        <w:t>, 2015</w:t>
      </w:r>
      <w:r w:rsidR="00C95CC3" w:rsidRPr="005602A7">
        <w:rPr>
          <w:rFonts w:ascii="Garamond" w:hAnsi="Garamond"/>
        </w:rPr>
        <w:t>)</w:t>
      </w:r>
      <w:r w:rsidR="001D0313" w:rsidRPr="005602A7">
        <w:rPr>
          <w:rFonts w:ascii="Garamond" w:hAnsi="Garamond"/>
        </w:rPr>
        <w:t xml:space="preserve"> 109-148</w:t>
      </w:r>
      <w:r w:rsidR="00B94689" w:rsidRPr="005602A7">
        <w:rPr>
          <w:rFonts w:ascii="Garamond" w:hAnsi="Garamond"/>
        </w:rPr>
        <w:t xml:space="preserve">. </w:t>
      </w:r>
    </w:p>
  </w:footnote>
  <w:footnote w:id="96">
    <w:p w14:paraId="474F5E77" w14:textId="7EEF9EA6" w:rsidR="00853859" w:rsidRPr="005602A7" w:rsidRDefault="00853859" w:rsidP="001340AF">
      <w:pPr>
        <w:pStyle w:val="FootnoteText"/>
        <w:jc w:val="both"/>
        <w:rPr>
          <w:rFonts w:ascii="Garamond" w:hAnsi="Garamond"/>
          <w:lang w:val="en-US"/>
        </w:rPr>
      </w:pPr>
      <w:r w:rsidRPr="005602A7">
        <w:rPr>
          <w:rStyle w:val="FootnoteReference"/>
          <w:rFonts w:ascii="Garamond" w:hAnsi="Garamond"/>
        </w:rPr>
        <w:footnoteRef/>
      </w:r>
      <w:r w:rsidR="00C95CC3" w:rsidRPr="005602A7">
        <w:rPr>
          <w:rFonts w:ascii="Garamond" w:hAnsi="Garamond"/>
          <w:lang w:val="en-US"/>
        </w:rPr>
        <w:t xml:space="preserve"> Adriana </w:t>
      </w:r>
      <w:proofErr w:type="spellStart"/>
      <w:r w:rsidR="00C95CC3" w:rsidRPr="005602A7">
        <w:rPr>
          <w:rFonts w:ascii="Garamond" w:hAnsi="Garamond"/>
          <w:lang w:val="en-US"/>
        </w:rPr>
        <w:t>Placani</w:t>
      </w:r>
      <w:proofErr w:type="spellEnd"/>
      <w:r w:rsidR="00C95CC3" w:rsidRPr="005602A7">
        <w:rPr>
          <w:rFonts w:ascii="Garamond" w:hAnsi="Garamond"/>
          <w:lang w:val="en-US"/>
        </w:rPr>
        <w:t xml:space="preserve">, </w:t>
      </w:r>
      <w:r w:rsidR="00C95CC3" w:rsidRPr="005602A7">
        <w:rPr>
          <w:rFonts w:ascii="Garamond" w:hAnsi="Garamond"/>
          <w:i/>
          <w:iCs/>
          <w:lang w:val="en-US"/>
        </w:rPr>
        <w:t>Joesph Raz’s Service Conception and the Limits of Knowability</w:t>
      </w:r>
      <w:r w:rsidR="00C95CC3" w:rsidRPr="005602A7">
        <w:rPr>
          <w:rFonts w:ascii="Garamond" w:hAnsi="Garamond"/>
          <w:lang w:val="en-US"/>
        </w:rPr>
        <w:t xml:space="preserve">, </w:t>
      </w:r>
      <w:r w:rsidR="001D0313" w:rsidRPr="005602A7">
        <w:rPr>
          <w:rFonts w:ascii="Garamond" w:hAnsi="Garamond"/>
          <w:lang w:val="en-US"/>
        </w:rPr>
        <w:t xml:space="preserve">34 (3) </w:t>
      </w:r>
      <w:r w:rsidR="00C95CC3" w:rsidRPr="005602A7">
        <w:rPr>
          <w:rFonts w:ascii="Garamond" w:hAnsi="Garamond"/>
          <w:smallCaps/>
          <w:lang w:val="en-US"/>
        </w:rPr>
        <w:t>Ratio Juris,</w:t>
      </w:r>
      <w:r w:rsidR="00C95CC3" w:rsidRPr="005602A7">
        <w:rPr>
          <w:rFonts w:ascii="Garamond" w:hAnsi="Garamond"/>
          <w:lang w:val="en-US"/>
        </w:rPr>
        <w:t xml:space="preserve"> 207,</w:t>
      </w:r>
      <w:r w:rsidR="00AE1E1B" w:rsidRPr="005602A7">
        <w:rPr>
          <w:rFonts w:ascii="Garamond" w:hAnsi="Garamond"/>
          <w:lang w:val="en-US"/>
        </w:rPr>
        <w:t xml:space="preserve"> 209</w:t>
      </w:r>
      <w:r w:rsidR="00C95CC3" w:rsidRPr="005602A7">
        <w:rPr>
          <w:rFonts w:ascii="Garamond" w:hAnsi="Garamond"/>
          <w:lang w:val="en-US"/>
        </w:rPr>
        <w:t xml:space="preserve"> </w:t>
      </w:r>
      <w:r w:rsidR="001D0313" w:rsidRPr="005602A7">
        <w:rPr>
          <w:rFonts w:ascii="Garamond" w:hAnsi="Garamond"/>
          <w:lang w:val="en-US"/>
        </w:rPr>
        <w:t xml:space="preserve">(2021) </w:t>
      </w:r>
      <w:r w:rsidR="00C95CC3" w:rsidRPr="005602A7">
        <w:rPr>
          <w:rFonts w:ascii="Garamond" w:hAnsi="Garamond"/>
          <w:lang w:val="en-US"/>
        </w:rPr>
        <w:t>https://onlinelibrary.wiley.com/doi/full/10.1111/raju.12326</w:t>
      </w:r>
      <w:r w:rsidRPr="005602A7">
        <w:rPr>
          <w:rFonts w:ascii="Garamond" w:hAnsi="Garamond"/>
          <w:lang w:val="en-US"/>
        </w:rPr>
        <w:t xml:space="preserve">; </w:t>
      </w:r>
      <w:r w:rsidR="00015179" w:rsidRPr="005602A7">
        <w:rPr>
          <w:rFonts w:ascii="Garamond" w:hAnsi="Garamond"/>
        </w:rPr>
        <w:t xml:space="preserve">Besson, </w:t>
      </w:r>
      <w:r w:rsidR="0067431C" w:rsidRPr="005602A7">
        <w:rPr>
          <w:rFonts w:ascii="Garamond" w:hAnsi="Garamond"/>
          <w:i/>
          <w:iCs/>
        </w:rPr>
        <w:t xml:space="preserve">The Authority of International Law, </w:t>
      </w:r>
      <w:r w:rsidR="00015179" w:rsidRPr="005602A7">
        <w:rPr>
          <w:rFonts w:ascii="Garamond" w:hAnsi="Garamond"/>
          <w:i/>
          <w:iCs/>
        </w:rPr>
        <w:t>supra</w:t>
      </w:r>
      <w:r w:rsidR="00015179" w:rsidRPr="005602A7">
        <w:rPr>
          <w:rFonts w:ascii="Garamond" w:hAnsi="Garamond"/>
        </w:rPr>
        <w:t xml:space="preserve"> note 90 </w:t>
      </w:r>
      <w:r w:rsidR="003F7481" w:rsidRPr="005602A7">
        <w:rPr>
          <w:rFonts w:ascii="Garamond" w:hAnsi="Garamond"/>
        </w:rPr>
        <w:t xml:space="preserve">at </w:t>
      </w:r>
      <w:r w:rsidRPr="005602A7">
        <w:rPr>
          <w:rFonts w:ascii="Garamond" w:hAnsi="Garamond"/>
          <w:lang w:val="en-US"/>
        </w:rPr>
        <w:t>355</w:t>
      </w:r>
      <w:r w:rsidR="009A2EB5" w:rsidRPr="005602A7">
        <w:rPr>
          <w:rFonts w:ascii="Garamond" w:hAnsi="Garamond"/>
          <w:lang w:val="en-US"/>
        </w:rPr>
        <w:t xml:space="preserve">; Joseph Raz, </w:t>
      </w:r>
      <w:r w:rsidR="00C12FD0" w:rsidRPr="005602A7">
        <w:rPr>
          <w:rFonts w:ascii="Garamond" w:hAnsi="Garamond"/>
          <w:i/>
          <w:iCs/>
          <w:lang w:val="en-US"/>
        </w:rPr>
        <w:t xml:space="preserve">On Respect, Authority and Neutrality: A Response, </w:t>
      </w:r>
      <w:r w:rsidR="008C18E3" w:rsidRPr="005602A7">
        <w:rPr>
          <w:rFonts w:ascii="Garamond" w:hAnsi="Garamond"/>
          <w:lang w:val="en-US"/>
        </w:rPr>
        <w:t xml:space="preserve">120(2) </w:t>
      </w:r>
      <w:r w:rsidR="008C18E3" w:rsidRPr="005602A7">
        <w:rPr>
          <w:rFonts w:ascii="Garamond" w:hAnsi="Garamond"/>
          <w:iCs/>
          <w:smallCaps/>
          <w:lang w:val="en-US"/>
        </w:rPr>
        <w:t xml:space="preserve">Ethics 279, </w:t>
      </w:r>
      <w:r w:rsidR="009A2EB5" w:rsidRPr="005602A7">
        <w:rPr>
          <w:rFonts w:ascii="Garamond" w:hAnsi="Garamond"/>
          <w:lang w:val="en-US"/>
        </w:rPr>
        <w:t>298 (2010).</w:t>
      </w:r>
    </w:p>
  </w:footnote>
  <w:footnote w:id="97">
    <w:p w14:paraId="68EAAB5F" w14:textId="461400D2" w:rsidR="00B35967" w:rsidRPr="005602A7" w:rsidRDefault="00B35967" w:rsidP="001340AF">
      <w:pPr>
        <w:pStyle w:val="FootnoteText"/>
        <w:jc w:val="both"/>
        <w:rPr>
          <w:rFonts w:ascii="Garamond" w:hAnsi="Garamond"/>
          <w:lang w:val="en-US"/>
        </w:rPr>
      </w:pPr>
      <w:r w:rsidRPr="005602A7">
        <w:rPr>
          <w:rStyle w:val="FootnoteReference"/>
          <w:rFonts w:ascii="Garamond" w:hAnsi="Garamond"/>
        </w:rPr>
        <w:footnoteRef/>
      </w:r>
      <w:r w:rsidR="001E0840" w:rsidRPr="005602A7">
        <w:rPr>
          <w:rFonts w:ascii="Garamond" w:hAnsi="Garamond"/>
        </w:rPr>
        <w:t xml:space="preserve"> </w:t>
      </w:r>
      <w:r w:rsidR="00015179" w:rsidRPr="005602A7">
        <w:rPr>
          <w:rFonts w:ascii="Garamond" w:hAnsi="Garamond"/>
        </w:rPr>
        <w:t xml:space="preserve">Besson, </w:t>
      </w:r>
      <w:r w:rsidR="0067431C" w:rsidRPr="005602A7">
        <w:rPr>
          <w:rFonts w:ascii="Garamond" w:hAnsi="Garamond"/>
          <w:i/>
          <w:iCs/>
        </w:rPr>
        <w:t xml:space="preserve">The Authority of International Law, </w:t>
      </w:r>
      <w:r w:rsidR="00015179" w:rsidRPr="005602A7">
        <w:rPr>
          <w:rFonts w:ascii="Garamond" w:hAnsi="Garamond"/>
          <w:i/>
          <w:iCs/>
        </w:rPr>
        <w:t>supra</w:t>
      </w:r>
      <w:r w:rsidR="00015179" w:rsidRPr="005602A7">
        <w:rPr>
          <w:rFonts w:ascii="Garamond" w:hAnsi="Garamond"/>
        </w:rPr>
        <w:t xml:space="preserve"> note 90 at</w:t>
      </w:r>
      <w:r w:rsidR="001E0840" w:rsidRPr="005602A7">
        <w:rPr>
          <w:rFonts w:ascii="Garamond" w:hAnsi="Garamond"/>
        </w:rPr>
        <w:t xml:space="preserve"> 354</w:t>
      </w:r>
      <w:r w:rsidR="003F7481" w:rsidRPr="005602A7">
        <w:rPr>
          <w:rFonts w:ascii="Garamond" w:hAnsi="Garamond"/>
        </w:rPr>
        <w:t xml:space="preserve">. </w:t>
      </w:r>
    </w:p>
  </w:footnote>
  <w:footnote w:id="98">
    <w:p w14:paraId="320FFB45" w14:textId="3DA601EA" w:rsidR="003E44F7" w:rsidRPr="005602A7" w:rsidRDefault="003E44F7"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015179" w:rsidRPr="005602A7">
        <w:rPr>
          <w:rFonts w:ascii="Garamond" w:hAnsi="Garamond"/>
        </w:rPr>
        <w:t xml:space="preserve">Besson, </w:t>
      </w:r>
      <w:r w:rsidR="0067431C" w:rsidRPr="005602A7">
        <w:rPr>
          <w:rFonts w:ascii="Garamond" w:hAnsi="Garamond"/>
          <w:i/>
          <w:iCs/>
        </w:rPr>
        <w:t xml:space="preserve">The Authority of International Law, </w:t>
      </w:r>
      <w:r w:rsidR="00015179" w:rsidRPr="005602A7">
        <w:rPr>
          <w:rFonts w:ascii="Garamond" w:hAnsi="Garamond"/>
          <w:i/>
          <w:iCs/>
        </w:rPr>
        <w:t>supra</w:t>
      </w:r>
      <w:r w:rsidR="00015179" w:rsidRPr="005602A7">
        <w:rPr>
          <w:rFonts w:ascii="Garamond" w:hAnsi="Garamond"/>
        </w:rPr>
        <w:t xml:space="preserve"> note 90 at </w:t>
      </w:r>
      <w:r w:rsidR="00AA1124" w:rsidRPr="005602A7">
        <w:rPr>
          <w:rFonts w:ascii="Garamond" w:hAnsi="Garamond"/>
        </w:rPr>
        <w:t>354</w:t>
      </w:r>
      <w:r w:rsidR="00DB77D2" w:rsidRPr="005602A7">
        <w:rPr>
          <w:rFonts w:ascii="Garamond" w:hAnsi="Garamond"/>
        </w:rPr>
        <w:t>-3</w:t>
      </w:r>
      <w:r w:rsidR="00C31AE6" w:rsidRPr="005602A7">
        <w:rPr>
          <w:rFonts w:ascii="Garamond" w:hAnsi="Garamond"/>
        </w:rPr>
        <w:t xml:space="preserve">56. </w:t>
      </w:r>
    </w:p>
  </w:footnote>
  <w:footnote w:id="99">
    <w:p w14:paraId="7404A9FB" w14:textId="77777777" w:rsidR="007D7D43" w:rsidRPr="005602A7" w:rsidRDefault="007D7D43"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Article 2(1) UN Charter. </w:t>
      </w:r>
    </w:p>
  </w:footnote>
  <w:footnote w:id="100">
    <w:p w14:paraId="6DF508B3" w14:textId="0AA38E9D" w:rsidR="00D67404" w:rsidRPr="005602A7" w:rsidRDefault="00D6740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United Nations: Consensus on principle of sovereign equality of States reached by Special Committee on Principles of International Law Concerning Friendly Relations of States</w:t>
      </w:r>
      <w:r w:rsidR="00A97DE7" w:rsidRPr="005602A7">
        <w:rPr>
          <w:rFonts w:ascii="Garamond" w:hAnsi="Garamond"/>
        </w:rPr>
        <w:t>, p. 151</w:t>
      </w:r>
      <w:r w:rsidR="00443B93" w:rsidRPr="005602A7">
        <w:rPr>
          <w:rFonts w:ascii="Garamond" w:hAnsi="Garamond"/>
        </w:rPr>
        <w:t xml:space="preserve">; </w:t>
      </w:r>
      <w:r w:rsidR="00284888" w:rsidRPr="005602A7">
        <w:rPr>
          <w:rFonts w:ascii="Garamond" w:hAnsi="Garamond"/>
        </w:rPr>
        <w:t>S.S. Lotus (Fr. v. Turk.), 1927 PCIJ Series A, No. 10 (Sept. 7)</w:t>
      </w:r>
      <w:r w:rsidR="005046F5" w:rsidRPr="005602A7">
        <w:rPr>
          <w:rFonts w:ascii="Garamond" w:hAnsi="Garamond"/>
        </w:rPr>
        <w:t xml:space="preserve">; </w:t>
      </w:r>
      <w:r w:rsidR="008B5681" w:rsidRPr="005602A7">
        <w:rPr>
          <w:rFonts w:ascii="Garamond" w:hAnsi="Garamond"/>
        </w:rPr>
        <w:t xml:space="preserve">Dissenting Opinion Judge </w:t>
      </w:r>
      <w:proofErr w:type="spellStart"/>
      <w:r w:rsidR="008B5681" w:rsidRPr="005602A7">
        <w:rPr>
          <w:rFonts w:ascii="Garamond" w:hAnsi="Garamond"/>
        </w:rPr>
        <w:t>Shahabuddeen</w:t>
      </w:r>
      <w:proofErr w:type="spellEnd"/>
      <w:r w:rsidR="008B5681" w:rsidRPr="005602A7">
        <w:rPr>
          <w:rFonts w:ascii="Garamond" w:hAnsi="Garamond"/>
        </w:rPr>
        <w:t>, Legality of the Threat or Use of Nuclear Weapons, Advisory Opinion, [1996] ICJ Rep 226 at</w:t>
      </w:r>
      <w:r w:rsidR="00855F03" w:rsidRPr="005602A7">
        <w:rPr>
          <w:rFonts w:ascii="Garamond" w:hAnsi="Garamond"/>
        </w:rPr>
        <w:t xml:space="preserve"> 393-394</w:t>
      </w:r>
      <w:r w:rsidR="008B5681" w:rsidRPr="005602A7">
        <w:rPr>
          <w:rFonts w:ascii="Garamond" w:hAnsi="Garamond"/>
        </w:rPr>
        <w:t xml:space="preserve">. </w:t>
      </w:r>
    </w:p>
  </w:footnote>
  <w:footnote w:id="101">
    <w:p w14:paraId="19ECDFF3" w14:textId="1BFAFD2B" w:rsidR="00723D5E" w:rsidRPr="005602A7" w:rsidRDefault="00723D5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1C2B14" w:rsidRPr="005602A7">
        <w:rPr>
          <w:rFonts w:ascii="Garamond" w:hAnsi="Garamond"/>
        </w:rPr>
        <w:t xml:space="preserve">Dissenting Opinion Judge </w:t>
      </w:r>
      <w:proofErr w:type="spellStart"/>
      <w:r w:rsidR="001C2B14" w:rsidRPr="005602A7">
        <w:rPr>
          <w:rFonts w:ascii="Garamond" w:hAnsi="Garamond"/>
        </w:rPr>
        <w:t>Shahabuddeen</w:t>
      </w:r>
      <w:proofErr w:type="spellEnd"/>
      <w:r w:rsidR="001C2B14" w:rsidRPr="005602A7">
        <w:rPr>
          <w:rFonts w:ascii="Garamond" w:hAnsi="Garamond"/>
        </w:rPr>
        <w:t>, Legality of the Threat or Use of Nuclear Weapons, Advisory Opinion, [1996] ICJ Rep 226 at 393, 396, 414.</w:t>
      </w:r>
    </w:p>
  </w:footnote>
  <w:footnote w:id="102">
    <w:p w14:paraId="55CD756F" w14:textId="77777777" w:rsidR="005571EC" w:rsidRPr="005602A7" w:rsidRDefault="005571EC"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Report of rapporteur of subcommittee I/1/A to committee I/1; chapter II, 1 </w:t>
      </w:r>
      <w:proofErr w:type="spellStart"/>
      <w:r w:rsidRPr="005602A7">
        <w:rPr>
          <w:rFonts w:ascii="Garamond" w:hAnsi="Garamond"/>
          <w:lang w:val="en-US"/>
        </w:rPr>
        <w:t>june</w:t>
      </w:r>
      <w:proofErr w:type="spellEnd"/>
      <w:r w:rsidRPr="005602A7">
        <w:rPr>
          <w:rFonts w:ascii="Garamond" w:hAnsi="Garamond"/>
          <w:lang w:val="en-US"/>
        </w:rPr>
        <w:t xml:space="preserve"> 1945 VI UNCIO at 717.</w:t>
      </w:r>
    </w:p>
  </w:footnote>
  <w:footnote w:id="103">
    <w:p w14:paraId="76AE5A73" w14:textId="0A90544E" w:rsidR="000A69C0" w:rsidRPr="005602A7" w:rsidRDefault="000A69C0"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Drawing on the example of extinguishment of </w:t>
      </w:r>
      <w:proofErr w:type="spellStart"/>
      <w:r w:rsidRPr="005602A7">
        <w:rPr>
          <w:rFonts w:ascii="Garamond" w:hAnsi="Garamond"/>
        </w:rPr>
        <w:t>potestas</w:t>
      </w:r>
      <w:proofErr w:type="spellEnd"/>
      <w:r w:rsidRPr="005602A7">
        <w:rPr>
          <w:rFonts w:ascii="Garamond" w:hAnsi="Garamond"/>
        </w:rPr>
        <w:t xml:space="preserve"> used by Martin Loug</w:t>
      </w:r>
      <w:r w:rsidR="00E87FDF" w:rsidRPr="005602A7">
        <w:rPr>
          <w:rFonts w:ascii="Garamond" w:hAnsi="Garamond"/>
        </w:rPr>
        <w:t>h</w:t>
      </w:r>
      <w:r w:rsidRPr="005602A7">
        <w:rPr>
          <w:rFonts w:ascii="Garamond" w:hAnsi="Garamond"/>
        </w:rPr>
        <w:t xml:space="preserve">lin, </w:t>
      </w:r>
      <w:r w:rsidR="007A5E35" w:rsidRPr="005602A7">
        <w:rPr>
          <w:rFonts w:ascii="Garamond" w:hAnsi="Garamond"/>
          <w:i/>
          <w:iCs/>
        </w:rPr>
        <w:t xml:space="preserve">The Erosion of Sovereignty, </w:t>
      </w:r>
      <w:r w:rsidR="00E87FDF" w:rsidRPr="005602A7">
        <w:rPr>
          <w:rFonts w:ascii="Garamond" w:hAnsi="Garamond"/>
          <w:i/>
          <w:iCs/>
        </w:rPr>
        <w:t xml:space="preserve">supra </w:t>
      </w:r>
      <w:r w:rsidR="00E87FDF" w:rsidRPr="005602A7">
        <w:rPr>
          <w:rFonts w:ascii="Garamond" w:hAnsi="Garamond"/>
        </w:rPr>
        <w:t>note 34.</w:t>
      </w:r>
    </w:p>
  </w:footnote>
  <w:footnote w:id="104">
    <w:p w14:paraId="6F2EE37D" w14:textId="1CC5EBF0" w:rsidR="006D703E" w:rsidRPr="005602A7" w:rsidRDefault="006D703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E87FDF" w:rsidRPr="005602A7">
        <w:rPr>
          <w:rFonts w:ascii="Garamond" w:hAnsi="Garamond"/>
        </w:rPr>
        <w:t>Loughlin</w:t>
      </w:r>
      <w:r w:rsidR="007A5E35" w:rsidRPr="005602A7">
        <w:rPr>
          <w:rFonts w:ascii="Garamond" w:hAnsi="Garamond"/>
        </w:rPr>
        <w:t xml:space="preserve">, </w:t>
      </w:r>
      <w:r w:rsidR="007A5E35" w:rsidRPr="005602A7">
        <w:rPr>
          <w:rFonts w:ascii="Garamond" w:hAnsi="Garamond"/>
          <w:i/>
          <w:iCs/>
        </w:rPr>
        <w:t xml:space="preserve">The Erosion of Sovereignty, </w:t>
      </w:r>
      <w:r w:rsidR="00E87FDF" w:rsidRPr="005602A7">
        <w:rPr>
          <w:rFonts w:ascii="Garamond" w:hAnsi="Garamond"/>
          <w:i/>
          <w:iCs/>
        </w:rPr>
        <w:t xml:space="preserve">supra </w:t>
      </w:r>
      <w:r w:rsidR="00E87FDF" w:rsidRPr="005602A7">
        <w:rPr>
          <w:rFonts w:ascii="Garamond" w:hAnsi="Garamond"/>
        </w:rPr>
        <w:t>note 34,</w:t>
      </w:r>
      <w:r w:rsidR="00914522" w:rsidRPr="005602A7">
        <w:rPr>
          <w:rFonts w:ascii="Garamond" w:hAnsi="Garamond"/>
        </w:rPr>
        <w:t xml:space="preserve"> at </w:t>
      </w:r>
      <w:r w:rsidR="0072169C" w:rsidRPr="005602A7">
        <w:rPr>
          <w:rFonts w:ascii="Garamond" w:hAnsi="Garamond"/>
        </w:rPr>
        <w:t>69</w:t>
      </w:r>
      <w:r w:rsidR="00C513AB" w:rsidRPr="005602A7">
        <w:rPr>
          <w:rFonts w:ascii="Garamond" w:hAnsi="Garamond"/>
        </w:rPr>
        <w:t>.</w:t>
      </w:r>
    </w:p>
  </w:footnote>
  <w:footnote w:id="105">
    <w:p w14:paraId="17F5F742" w14:textId="6FF9088A" w:rsidR="002435DF" w:rsidRPr="005602A7" w:rsidRDefault="002435DF"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87FDF" w:rsidRPr="005602A7">
        <w:rPr>
          <w:rFonts w:ascii="Garamond" w:hAnsi="Garamond"/>
        </w:rPr>
        <w:t>Loughlin</w:t>
      </w:r>
      <w:r w:rsidR="00914522" w:rsidRPr="005602A7">
        <w:rPr>
          <w:rFonts w:ascii="Garamond" w:hAnsi="Garamond"/>
        </w:rPr>
        <w:t xml:space="preserve">, </w:t>
      </w:r>
      <w:r w:rsidR="007A5E35" w:rsidRPr="005602A7">
        <w:rPr>
          <w:rFonts w:ascii="Garamond" w:hAnsi="Garamond"/>
          <w:i/>
          <w:iCs/>
        </w:rPr>
        <w:t xml:space="preserve">The Erosion of Sovereignty, </w:t>
      </w:r>
      <w:r w:rsidR="00E87FDF" w:rsidRPr="005602A7">
        <w:rPr>
          <w:rFonts w:ascii="Garamond" w:hAnsi="Garamond"/>
          <w:i/>
          <w:iCs/>
        </w:rPr>
        <w:t xml:space="preserve">supra </w:t>
      </w:r>
      <w:r w:rsidR="00E87FDF" w:rsidRPr="005602A7">
        <w:rPr>
          <w:rFonts w:ascii="Garamond" w:hAnsi="Garamond"/>
        </w:rPr>
        <w:t xml:space="preserve">note 34 </w:t>
      </w:r>
      <w:r w:rsidR="00914522" w:rsidRPr="005602A7">
        <w:rPr>
          <w:rFonts w:ascii="Garamond" w:hAnsi="Garamond"/>
        </w:rPr>
        <w:t>at</w:t>
      </w:r>
      <w:r w:rsidR="00C513AB" w:rsidRPr="005602A7">
        <w:rPr>
          <w:rFonts w:ascii="Garamond" w:hAnsi="Garamond"/>
          <w:lang w:val="en-US"/>
        </w:rPr>
        <w:t xml:space="preserve"> </w:t>
      </w:r>
      <w:r w:rsidR="008B60D3" w:rsidRPr="005602A7">
        <w:rPr>
          <w:rFonts w:ascii="Garamond" w:hAnsi="Garamond"/>
          <w:lang w:val="en-US"/>
        </w:rPr>
        <w:t>69</w:t>
      </w:r>
      <w:r w:rsidR="00C513AB" w:rsidRPr="005602A7">
        <w:rPr>
          <w:rFonts w:ascii="Garamond" w:hAnsi="Garamond"/>
          <w:lang w:val="en-US"/>
        </w:rPr>
        <w:t>.</w:t>
      </w:r>
    </w:p>
  </w:footnote>
  <w:footnote w:id="106">
    <w:p w14:paraId="74DFD5FD" w14:textId="1FA0C3F0" w:rsidR="003B09B5" w:rsidRPr="005602A7" w:rsidRDefault="003B09B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855F03" w:rsidRPr="005602A7">
        <w:rPr>
          <w:rFonts w:ascii="Garamond" w:hAnsi="Garamond"/>
        </w:rPr>
        <w:t xml:space="preserve">Dissenting Opinion Judge </w:t>
      </w:r>
      <w:proofErr w:type="spellStart"/>
      <w:r w:rsidR="00855F03" w:rsidRPr="005602A7">
        <w:rPr>
          <w:rFonts w:ascii="Garamond" w:hAnsi="Garamond"/>
        </w:rPr>
        <w:t>Shahabuddeen</w:t>
      </w:r>
      <w:proofErr w:type="spellEnd"/>
      <w:r w:rsidR="00855F03" w:rsidRPr="005602A7">
        <w:rPr>
          <w:rFonts w:ascii="Garamond" w:hAnsi="Garamond"/>
        </w:rPr>
        <w:t>, Legality of the Threat or Use of Nuclear Weapons, Advisory Opinion, [1996] ICJ Rep 226, at 393-394</w:t>
      </w:r>
      <w:r w:rsidR="003F7481" w:rsidRPr="005602A7">
        <w:rPr>
          <w:rFonts w:ascii="Garamond" w:hAnsi="Garamond"/>
        </w:rPr>
        <w:t xml:space="preserve">. </w:t>
      </w:r>
    </w:p>
  </w:footnote>
  <w:footnote w:id="107">
    <w:p w14:paraId="4F750B0B" w14:textId="421FFED0" w:rsidR="0019144E" w:rsidRPr="005602A7" w:rsidRDefault="0019144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C7097F" w:rsidRPr="005602A7">
        <w:rPr>
          <w:rFonts w:ascii="Garamond" w:hAnsi="Garamond"/>
          <w:lang w:val="en-US"/>
        </w:rPr>
        <w:t xml:space="preserve">See </w:t>
      </w:r>
      <w:r w:rsidR="00C7097F" w:rsidRPr="005602A7">
        <w:rPr>
          <w:rFonts w:ascii="Garamond" w:hAnsi="Garamond"/>
        </w:rPr>
        <w:t xml:space="preserve">Gary L. Scott &amp; Craig L. Carr, </w:t>
      </w:r>
      <w:r w:rsidR="00C7097F" w:rsidRPr="005602A7">
        <w:rPr>
          <w:rFonts w:ascii="Garamond" w:hAnsi="Garamond"/>
          <w:i/>
        </w:rPr>
        <w:t xml:space="preserve">Multilateral Treaties and the Formation of Customary International Law, </w:t>
      </w:r>
      <w:r w:rsidR="00C7097F" w:rsidRPr="005602A7">
        <w:rPr>
          <w:rFonts w:ascii="Garamond" w:hAnsi="Garamond"/>
          <w:iCs/>
        </w:rPr>
        <w:t>25</w:t>
      </w:r>
      <w:r w:rsidR="00C7097F" w:rsidRPr="005602A7">
        <w:rPr>
          <w:rFonts w:ascii="Garamond" w:hAnsi="Garamond"/>
        </w:rPr>
        <w:t xml:space="preserve"> DENV. J. INT'L L. &amp; POL'Y 71 (1996); and </w:t>
      </w:r>
      <w:r w:rsidR="00E61F69" w:rsidRPr="005602A7">
        <w:rPr>
          <w:rFonts w:ascii="Garamond" w:hAnsi="Garamond"/>
        </w:rPr>
        <w:t xml:space="preserve">Gary L. Scott &amp; Craig L. Carr, </w:t>
      </w:r>
      <w:r w:rsidR="00E61F69" w:rsidRPr="005602A7">
        <w:rPr>
          <w:rFonts w:ascii="Garamond" w:hAnsi="Garamond"/>
          <w:i/>
          <w:iCs/>
        </w:rPr>
        <w:t>Multilateral Treaties and the Environment: A Case Study in the Formation of Customary International Law</w:t>
      </w:r>
      <w:r w:rsidR="00E61F69" w:rsidRPr="005602A7">
        <w:rPr>
          <w:rFonts w:ascii="Garamond" w:hAnsi="Garamond"/>
        </w:rPr>
        <w:t xml:space="preserve">, 27 Denv. J. Int'l L. &amp; </w:t>
      </w:r>
      <w:proofErr w:type="spellStart"/>
      <w:r w:rsidR="00E61F69" w:rsidRPr="005602A7">
        <w:rPr>
          <w:rFonts w:ascii="Garamond" w:hAnsi="Garamond"/>
        </w:rPr>
        <w:t>Pol'y</w:t>
      </w:r>
      <w:proofErr w:type="spellEnd"/>
      <w:r w:rsidR="00E61F69" w:rsidRPr="005602A7">
        <w:rPr>
          <w:rFonts w:ascii="Garamond" w:hAnsi="Garamond"/>
        </w:rPr>
        <w:t xml:space="preserve"> 313 (1999). </w:t>
      </w:r>
    </w:p>
  </w:footnote>
  <w:footnote w:id="108">
    <w:p w14:paraId="2FBE5939" w14:textId="15806C22" w:rsidR="000250EE" w:rsidRPr="005602A7" w:rsidRDefault="000250E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03CCF" w:rsidRPr="005602A7">
        <w:rPr>
          <w:rFonts w:ascii="Garamond" w:hAnsi="Garamond"/>
        </w:rPr>
        <w:t xml:space="preserve">Waldron, </w:t>
      </w:r>
      <w:r w:rsidR="004E06CC" w:rsidRPr="005602A7">
        <w:rPr>
          <w:rFonts w:ascii="Garamond" w:hAnsi="Garamond"/>
          <w:i/>
          <w:iCs/>
        </w:rPr>
        <w:t xml:space="preserve">Are Sovereigns Entitled to the Benefit of the International Rule of Law, </w:t>
      </w:r>
      <w:r w:rsidR="00703CCF" w:rsidRPr="005602A7">
        <w:rPr>
          <w:rFonts w:ascii="Garamond" w:hAnsi="Garamond"/>
          <w:i/>
          <w:iCs/>
        </w:rPr>
        <w:t xml:space="preserve">supra </w:t>
      </w:r>
      <w:r w:rsidR="00703CCF" w:rsidRPr="005602A7">
        <w:rPr>
          <w:rFonts w:ascii="Garamond" w:hAnsi="Garamond"/>
        </w:rPr>
        <w:t xml:space="preserve">note 49 </w:t>
      </w:r>
      <w:r w:rsidR="00703CCF" w:rsidRPr="005602A7">
        <w:rPr>
          <w:rFonts w:ascii="Garamond" w:hAnsi="Garamond"/>
          <w:lang w:val="en-US"/>
        </w:rPr>
        <w:t>at</w:t>
      </w:r>
      <w:r w:rsidR="00703CCF" w:rsidRPr="005602A7">
        <w:rPr>
          <w:rFonts w:ascii="Garamond" w:hAnsi="Garamond"/>
        </w:rPr>
        <w:t xml:space="preserve"> </w:t>
      </w:r>
      <w:r w:rsidRPr="005602A7">
        <w:rPr>
          <w:rFonts w:ascii="Garamond" w:hAnsi="Garamond"/>
        </w:rPr>
        <w:t>329 and 330.</w:t>
      </w:r>
    </w:p>
  </w:footnote>
  <w:footnote w:id="109">
    <w:p w14:paraId="6C7305DD" w14:textId="024630C5" w:rsidR="00FF2020" w:rsidRPr="005602A7" w:rsidRDefault="00FF2020"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015179" w:rsidRPr="005602A7">
        <w:rPr>
          <w:rFonts w:ascii="Garamond" w:hAnsi="Garamond"/>
        </w:rPr>
        <w:t>Peters,</w:t>
      </w:r>
      <w:r w:rsidR="007A5E35" w:rsidRPr="005602A7">
        <w:rPr>
          <w:rFonts w:ascii="Garamond" w:hAnsi="Garamond"/>
          <w:i/>
          <w:iCs/>
        </w:rPr>
        <w:t xml:space="preserve"> Humanity as the Alpha and Omega of Sovereignty</w:t>
      </w:r>
      <w:r w:rsidR="007A5E35" w:rsidRPr="005602A7">
        <w:rPr>
          <w:rFonts w:ascii="Garamond" w:hAnsi="Garamond"/>
        </w:rPr>
        <w:t>,</w:t>
      </w:r>
      <w:r w:rsidR="00015179" w:rsidRPr="005602A7">
        <w:rPr>
          <w:rFonts w:ascii="Garamond" w:hAnsi="Garamond"/>
        </w:rPr>
        <w:t xml:space="preserve"> </w:t>
      </w:r>
      <w:r w:rsidR="00015179" w:rsidRPr="005602A7">
        <w:rPr>
          <w:rFonts w:ascii="Garamond" w:hAnsi="Garamond"/>
          <w:i/>
          <w:iCs/>
        </w:rPr>
        <w:t>supra</w:t>
      </w:r>
      <w:r w:rsidR="00015179" w:rsidRPr="005602A7">
        <w:rPr>
          <w:rFonts w:ascii="Garamond" w:hAnsi="Garamond"/>
        </w:rPr>
        <w:t xml:space="preserve"> note 41</w:t>
      </w:r>
      <w:r w:rsidR="00C513AB" w:rsidRPr="005602A7">
        <w:rPr>
          <w:rFonts w:ascii="Garamond" w:hAnsi="Garamond"/>
        </w:rPr>
        <w:t>.</w:t>
      </w:r>
    </w:p>
  </w:footnote>
  <w:footnote w:id="110">
    <w:p w14:paraId="76619DCE" w14:textId="1A4D85C3" w:rsidR="00BB4366" w:rsidRPr="005602A7" w:rsidRDefault="00BB4366"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015179" w:rsidRPr="005602A7">
        <w:rPr>
          <w:rFonts w:ascii="Garamond" w:hAnsi="Garamond"/>
        </w:rPr>
        <w:t xml:space="preserve">Besson, </w:t>
      </w:r>
      <w:r w:rsidR="0067431C" w:rsidRPr="005602A7">
        <w:rPr>
          <w:rFonts w:ascii="Garamond" w:hAnsi="Garamond"/>
          <w:i/>
          <w:iCs/>
        </w:rPr>
        <w:t xml:space="preserve">The Authority of International Law, </w:t>
      </w:r>
      <w:r w:rsidR="00015179" w:rsidRPr="005602A7">
        <w:rPr>
          <w:rFonts w:ascii="Garamond" w:hAnsi="Garamond"/>
          <w:i/>
          <w:iCs/>
        </w:rPr>
        <w:t>supra</w:t>
      </w:r>
      <w:r w:rsidR="00015179" w:rsidRPr="005602A7">
        <w:rPr>
          <w:rFonts w:ascii="Garamond" w:hAnsi="Garamond"/>
        </w:rPr>
        <w:t xml:space="preserve"> note 90 at </w:t>
      </w:r>
      <w:r w:rsidR="003F7481" w:rsidRPr="005602A7">
        <w:rPr>
          <w:rFonts w:ascii="Garamond" w:hAnsi="Garamond"/>
        </w:rPr>
        <w:t>353</w:t>
      </w:r>
      <w:r w:rsidRPr="005602A7">
        <w:rPr>
          <w:rFonts w:ascii="Garamond" w:hAnsi="Garamond"/>
        </w:rPr>
        <w:t xml:space="preserve">; </w:t>
      </w:r>
      <w:r w:rsidR="00914522" w:rsidRPr="005602A7">
        <w:rPr>
          <w:rFonts w:ascii="Garamond" w:hAnsi="Garamond"/>
        </w:rPr>
        <w:t xml:space="preserve">Raz, </w:t>
      </w:r>
      <w:r w:rsidR="0067431C" w:rsidRPr="005602A7">
        <w:rPr>
          <w:rFonts w:ascii="Garamond" w:hAnsi="Garamond"/>
          <w:i/>
        </w:rPr>
        <w:t>The Problem of Authority: Revisiting the Service Conception</w:t>
      </w:r>
      <w:r w:rsidR="0067431C" w:rsidRPr="005602A7">
        <w:rPr>
          <w:rFonts w:ascii="Garamond" w:hAnsi="Garamond"/>
        </w:rPr>
        <w:t xml:space="preserve">, </w:t>
      </w:r>
      <w:r w:rsidR="0067431C" w:rsidRPr="005602A7">
        <w:rPr>
          <w:rFonts w:ascii="Garamond" w:hAnsi="Garamond"/>
          <w:i/>
          <w:iCs/>
        </w:rPr>
        <w:t>supra</w:t>
      </w:r>
      <w:r w:rsidR="0067431C" w:rsidRPr="005602A7">
        <w:rPr>
          <w:rFonts w:ascii="Garamond" w:hAnsi="Garamond"/>
        </w:rPr>
        <w:t xml:space="preserve"> </w:t>
      </w:r>
      <w:r w:rsidR="00015179" w:rsidRPr="005602A7">
        <w:rPr>
          <w:rFonts w:ascii="Garamond" w:hAnsi="Garamond"/>
          <w:iCs/>
        </w:rPr>
        <w:t xml:space="preserve">note 92 at </w:t>
      </w:r>
      <w:r w:rsidR="00914522" w:rsidRPr="005602A7">
        <w:rPr>
          <w:rFonts w:ascii="Garamond" w:hAnsi="Garamond"/>
        </w:rPr>
        <w:t>1014</w:t>
      </w:r>
      <w:r w:rsidR="00015179" w:rsidRPr="005602A7">
        <w:rPr>
          <w:rFonts w:ascii="Garamond" w:hAnsi="Garamond"/>
        </w:rPr>
        <w:t xml:space="preserve">. </w:t>
      </w:r>
    </w:p>
  </w:footnote>
  <w:footnote w:id="111">
    <w:p w14:paraId="13B4E573" w14:textId="64048C22" w:rsidR="00FF2020" w:rsidRPr="005602A7" w:rsidRDefault="00FF2020"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9E589A" w:rsidRPr="005602A7">
        <w:rPr>
          <w:rFonts w:ascii="Garamond" w:hAnsi="Garamond"/>
          <w:shd w:val="clear" w:color="auto" w:fill="FFFFFF"/>
        </w:rPr>
        <w:t>Fassbender,</w:t>
      </w:r>
      <w:r w:rsidR="00570DC2" w:rsidRPr="005602A7">
        <w:rPr>
          <w:rFonts w:ascii="Garamond" w:hAnsi="Garamond"/>
          <w:shd w:val="clear" w:color="auto" w:fill="FFFFFF"/>
        </w:rPr>
        <w:t xml:space="preserve"> </w:t>
      </w:r>
      <w:r w:rsidR="00570DC2" w:rsidRPr="005602A7">
        <w:rPr>
          <w:rFonts w:ascii="Garamond" w:hAnsi="Garamond"/>
          <w:i/>
          <w:iCs/>
          <w:shd w:val="clear" w:color="auto" w:fill="FFFFFF"/>
        </w:rPr>
        <w:t>Sovereignty and Constitutionalism in International Law,</w:t>
      </w:r>
      <w:r w:rsidR="009E589A" w:rsidRPr="005602A7">
        <w:rPr>
          <w:rFonts w:ascii="Garamond" w:hAnsi="Garamond"/>
          <w:shd w:val="clear" w:color="auto" w:fill="FFFFFF"/>
        </w:rPr>
        <w:t xml:space="preserve"> </w:t>
      </w:r>
      <w:r w:rsidR="00F07709" w:rsidRPr="005602A7">
        <w:rPr>
          <w:rFonts w:ascii="Garamond" w:hAnsi="Garamond"/>
          <w:i/>
          <w:iCs/>
          <w:shd w:val="clear" w:color="auto" w:fill="FFFFFF"/>
        </w:rPr>
        <w:t xml:space="preserve">supra </w:t>
      </w:r>
      <w:r w:rsidR="00F07709" w:rsidRPr="005602A7">
        <w:rPr>
          <w:rFonts w:ascii="Garamond" w:hAnsi="Garamond"/>
          <w:shd w:val="clear" w:color="auto" w:fill="FFFFFF"/>
        </w:rPr>
        <w:t xml:space="preserve">note 23 </w:t>
      </w:r>
      <w:r w:rsidR="005D2D82" w:rsidRPr="005602A7">
        <w:rPr>
          <w:rFonts w:ascii="Garamond" w:hAnsi="Garamond"/>
          <w:shd w:val="clear" w:color="auto" w:fill="FFFFFF"/>
        </w:rPr>
        <w:t xml:space="preserve">at </w:t>
      </w:r>
      <w:r w:rsidRPr="005602A7">
        <w:rPr>
          <w:rFonts w:ascii="Garamond" w:hAnsi="Garamond"/>
        </w:rPr>
        <w:t>139</w:t>
      </w:r>
      <w:r w:rsidR="005D2D82" w:rsidRPr="005602A7">
        <w:rPr>
          <w:rFonts w:ascii="Garamond" w:hAnsi="Garamond"/>
        </w:rPr>
        <w:t>.</w:t>
      </w:r>
    </w:p>
  </w:footnote>
  <w:footnote w:id="112">
    <w:p w14:paraId="6E6C57CA" w14:textId="226BA692" w:rsidR="000F1941" w:rsidRPr="005602A7" w:rsidRDefault="000F1941"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5046F5" w:rsidRPr="005602A7">
        <w:rPr>
          <w:rFonts w:ascii="Garamond" w:hAnsi="Garamond"/>
        </w:rPr>
        <w:t xml:space="preserve">Samantha Besson, </w:t>
      </w:r>
      <w:r w:rsidR="005046F5" w:rsidRPr="005602A7">
        <w:rPr>
          <w:rFonts w:ascii="Garamond" w:hAnsi="Garamond"/>
          <w:i/>
          <w:iCs/>
        </w:rPr>
        <w:t>State Consent and Disagreement in International Law-Making. Dissolving the Paradox,</w:t>
      </w:r>
      <w:r w:rsidR="005046F5" w:rsidRPr="005602A7">
        <w:rPr>
          <w:rFonts w:ascii="Garamond" w:hAnsi="Garamond"/>
        </w:rPr>
        <w:t xml:space="preserve"> </w:t>
      </w:r>
      <w:r w:rsidR="001D0313" w:rsidRPr="005602A7">
        <w:rPr>
          <w:rFonts w:ascii="Garamond" w:hAnsi="Garamond"/>
        </w:rPr>
        <w:t xml:space="preserve">29 </w:t>
      </w:r>
      <w:r w:rsidR="005046F5" w:rsidRPr="005602A7">
        <w:rPr>
          <w:rFonts w:ascii="Garamond" w:hAnsi="Garamond"/>
          <w:smallCaps/>
        </w:rPr>
        <w:t>Leiden Journal of International Law</w:t>
      </w:r>
      <w:r w:rsidR="005046F5" w:rsidRPr="005602A7">
        <w:rPr>
          <w:rFonts w:ascii="Garamond" w:hAnsi="Garamond"/>
        </w:rPr>
        <w:t xml:space="preserve"> </w:t>
      </w:r>
      <w:r w:rsidRPr="005602A7">
        <w:rPr>
          <w:rFonts w:ascii="Garamond" w:hAnsi="Garamond"/>
        </w:rPr>
        <w:t>295</w:t>
      </w:r>
      <w:r w:rsidR="001D0313" w:rsidRPr="005602A7">
        <w:rPr>
          <w:rFonts w:ascii="Garamond" w:hAnsi="Garamond"/>
        </w:rPr>
        <w:t xml:space="preserve"> (2016)</w:t>
      </w:r>
      <w:r w:rsidR="005046F5" w:rsidRPr="005602A7">
        <w:rPr>
          <w:rFonts w:ascii="Garamond" w:hAnsi="Garamond"/>
        </w:rPr>
        <w:t>.</w:t>
      </w:r>
    </w:p>
  </w:footnote>
  <w:footnote w:id="113">
    <w:p w14:paraId="6EDB92E1" w14:textId="0187A546" w:rsidR="00B47359" w:rsidRPr="005602A7" w:rsidRDefault="00B4735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5107F8" w:rsidRPr="005602A7">
        <w:rPr>
          <w:rFonts w:ascii="Garamond" w:hAnsi="Garamond"/>
        </w:rPr>
        <w:t xml:space="preserve">Scott A </w:t>
      </w:r>
      <w:proofErr w:type="spellStart"/>
      <w:r w:rsidRPr="005602A7">
        <w:rPr>
          <w:rFonts w:ascii="Garamond" w:hAnsi="Garamond"/>
          <w:lang w:val="en-US"/>
        </w:rPr>
        <w:t>Hershovitz</w:t>
      </w:r>
      <w:proofErr w:type="spellEnd"/>
      <w:r w:rsidRPr="005602A7">
        <w:rPr>
          <w:rFonts w:ascii="Garamond" w:hAnsi="Garamond"/>
          <w:lang w:val="en-US"/>
        </w:rPr>
        <w:t xml:space="preserve">, </w:t>
      </w:r>
      <w:r w:rsidR="005107F8" w:rsidRPr="005602A7">
        <w:rPr>
          <w:rFonts w:ascii="Garamond" w:hAnsi="Garamond"/>
          <w:i/>
          <w:iCs/>
          <w:lang w:val="en-US"/>
        </w:rPr>
        <w:t>The Role of Authority</w:t>
      </w:r>
      <w:r w:rsidRPr="005602A7">
        <w:rPr>
          <w:rFonts w:ascii="Garamond" w:hAnsi="Garamond"/>
          <w:lang w:val="en-US"/>
        </w:rPr>
        <w:t xml:space="preserve">, </w:t>
      </w:r>
      <w:r w:rsidR="001D0313" w:rsidRPr="005602A7">
        <w:rPr>
          <w:rFonts w:ascii="Garamond" w:hAnsi="Garamond"/>
          <w:lang w:val="en-US"/>
        </w:rPr>
        <w:t xml:space="preserve">11(7) </w:t>
      </w:r>
      <w:r w:rsidR="005107F8" w:rsidRPr="005602A7">
        <w:rPr>
          <w:rStyle w:val="Emphasis"/>
          <w:rFonts w:ascii="Garamond" w:hAnsi="Garamond"/>
          <w:i w:val="0"/>
          <w:iCs w:val="0"/>
          <w:smallCaps/>
          <w:bdr w:val="none" w:sz="0" w:space="0" w:color="auto" w:frame="1"/>
          <w:shd w:val="clear" w:color="auto" w:fill="FFFFFF"/>
        </w:rPr>
        <w:t>Philosopher's Imprint</w:t>
      </w:r>
      <w:r w:rsidR="005107F8" w:rsidRPr="005602A7">
        <w:rPr>
          <w:rFonts w:ascii="Garamond" w:hAnsi="Garamond"/>
          <w:shd w:val="clear" w:color="auto" w:fill="FFFFFF"/>
        </w:rPr>
        <w:t xml:space="preserve"> 1-19 at </w:t>
      </w:r>
      <w:r w:rsidR="001719B6" w:rsidRPr="005602A7">
        <w:rPr>
          <w:rFonts w:ascii="Garamond" w:hAnsi="Garamond"/>
          <w:lang w:val="en-US"/>
        </w:rPr>
        <w:t>5</w:t>
      </w:r>
      <w:r w:rsidR="005107F8" w:rsidRPr="005602A7">
        <w:rPr>
          <w:rFonts w:ascii="Garamond" w:hAnsi="Garamond"/>
          <w:lang w:val="en-US"/>
        </w:rPr>
        <w:t xml:space="preserve"> </w:t>
      </w:r>
      <w:r w:rsidR="001D0313" w:rsidRPr="005602A7">
        <w:rPr>
          <w:rFonts w:ascii="Garamond" w:hAnsi="Garamond"/>
          <w:lang w:val="en-US"/>
        </w:rPr>
        <w:t>(2011)</w:t>
      </w:r>
      <w:r w:rsidR="005107F8" w:rsidRPr="005602A7">
        <w:rPr>
          <w:rFonts w:ascii="Garamond" w:hAnsi="Garamond"/>
          <w:lang w:val="en-US"/>
        </w:rPr>
        <w:t>.</w:t>
      </w:r>
    </w:p>
  </w:footnote>
  <w:footnote w:id="114">
    <w:p w14:paraId="457DD9E9" w14:textId="4E9E0747" w:rsidR="00B831D5" w:rsidRPr="005602A7" w:rsidRDefault="00B831D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015179" w:rsidRPr="005602A7">
        <w:rPr>
          <w:rFonts w:ascii="Garamond" w:hAnsi="Garamond"/>
        </w:rPr>
        <w:t xml:space="preserve">Raz, </w:t>
      </w:r>
      <w:r w:rsidR="0067431C" w:rsidRPr="005602A7">
        <w:rPr>
          <w:rFonts w:ascii="Garamond" w:hAnsi="Garamond"/>
          <w:i/>
        </w:rPr>
        <w:t>The Problem of Authority: Revisiting the Service Conception</w:t>
      </w:r>
      <w:r w:rsidR="0067431C" w:rsidRPr="005602A7">
        <w:rPr>
          <w:rFonts w:ascii="Garamond" w:hAnsi="Garamond"/>
        </w:rPr>
        <w:t xml:space="preserve">, </w:t>
      </w:r>
      <w:r w:rsidR="0067431C" w:rsidRPr="005602A7">
        <w:rPr>
          <w:rFonts w:ascii="Garamond" w:hAnsi="Garamond"/>
          <w:i/>
          <w:iCs/>
        </w:rPr>
        <w:t>supra</w:t>
      </w:r>
      <w:r w:rsidR="0067431C" w:rsidRPr="005602A7">
        <w:rPr>
          <w:rFonts w:ascii="Garamond" w:hAnsi="Garamond"/>
        </w:rPr>
        <w:t xml:space="preserve"> </w:t>
      </w:r>
      <w:r w:rsidR="00015179" w:rsidRPr="005602A7">
        <w:rPr>
          <w:rFonts w:ascii="Garamond" w:hAnsi="Garamond"/>
        </w:rPr>
        <w:t>note 92 at</w:t>
      </w:r>
      <w:r w:rsidR="00006F8E" w:rsidRPr="005602A7">
        <w:rPr>
          <w:rFonts w:ascii="Garamond" w:hAnsi="Garamond"/>
        </w:rPr>
        <w:t xml:space="preserve"> 1023</w:t>
      </w:r>
      <w:r w:rsidR="00B94689" w:rsidRPr="005602A7">
        <w:rPr>
          <w:rFonts w:ascii="Garamond" w:hAnsi="Garamond"/>
        </w:rPr>
        <w:t xml:space="preserve">. </w:t>
      </w:r>
      <w:r w:rsidRPr="005602A7">
        <w:rPr>
          <w:rFonts w:ascii="Garamond" w:hAnsi="Garamond"/>
          <w:lang w:val="en-US"/>
        </w:rPr>
        <w:t xml:space="preserve"> </w:t>
      </w:r>
    </w:p>
  </w:footnote>
  <w:footnote w:id="115">
    <w:p w14:paraId="15FFDB6C" w14:textId="046D3E84" w:rsidR="00DC6A6F" w:rsidRPr="005602A7" w:rsidRDefault="00DC6A6F"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914522" w:rsidRPr="005602A7">
        <w:rPr>
          <w:rFonts w:ascii="Garamond" w:hAnsi="Garamond"/>
          <w:lang w:val="en-US"/>
        </w:rPr>
        <w:t>Hershovitz</w:t>
      </w:r>
      <w:proofErr w:type="spellEnd"/>
      <w:r w:rsidR="00914522" w:rsidRPr="005602A7">
        <w:rPr>
          <w:rFonts w:ascii="Garamond" w:hAnsi="Garamond"/>
          <w:lang w:val="en-US"/>
        </w:rPr>
        <w:t xml:space="preserve">, </w:t>
      </w:r>
      <w:r w:rsidR="0067431C" w:rsidRPr="005602A7">
        <w:rPr>
          <w:rFonts w:ascii="Garamond" w:hAnsi="Garamond"/>
          <w:i/>
          <w:iCs/>
          <w:lang w:val="en-US"/>
        </w:rPr>
        <w:t>The Role of Authority</w:t>
      </w:r>
      <w:r w:rsidR="0067431C" w:rsidRPr="005602A7">
        <w:rPr>
          <w:rFonts w:ascii="Garamond" w:hAnsi="Garamond"/>
          <w:lang w:val="en-US"/>
        </w:rPr>
        <w:t xml:space="preserve">, </w:t>
      </w:r>
      <w:r w:rsidR="00015179" w:rsidRPr="005602A7">
        <w:rPr>
          <w:rFonts w:ascii="Garamond" w:hAnsi="Garamond"/>
          <w:i/>
          <w:iCs/>
          <w:lang w:val="en-US"/>
        </w:rPr>
        <w:t xml:space="preserve">supra </w:t>
      </w:r>
      <w:r w:rsidR="00015179" w:rsidRPr="005602A7">
        <w:rPr>
          <w:rFonts w:ascii="Garamond" w:hAnsi="Garamond"/>
          <w:lang w:val="en-US"/>
        </w:rPr>
        <w:t xml:space="preserve">note 112 at </w:t>
      </w:r>
      <w:r w:rsidR="00914522" w:rsidRPr="005602A7">
        <w:rPr>
          <w:rFonts w:ascii="Garamond" w:hAnsi="Garamond"/>
          <w:lang w:val="en-US"/>
        </w:rPr>
        <w:t>5</w:t>
      </w:r>
      <w:r w:rsidR="00015179" w:rsidRPr="005602A7">
        <w:rPr>
          <w:rFonts w:ascii="Garamond" w:hAnsi="Garamond"/>
          <w:lang w:val="en-US"/>
        </w:rPr>
        <w:t xml:space="preserve">. </w:t>
      </w:r>
    </w:p>
  </w:footnote>
  <w:footnote w:id="116">
    <w:p w14:paraId="73FF4EE4" w14:textId="011A17E9" w:rsidR="00271D34" w:rsidRPr="005602A7" w:rsidRDefault="00271D3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015179" w:rsidRPr="005602A7">
        <w:rPr>
          <w:rFonts w:ascii="Garamond" w:hAnsi="Garamond"/>
          <w:lang w:val="en-US"/>
        </w:rPr>
        <w:t>Hershovitz</w:t>
      </w:r>
      <w:proofErr w:type="spellEnd"/>
      <w:r w:rsidR="00015179" w:rsidRPr="005602A7">
        <w:rPr>
          <w:rFonts w:ascii="Garamond" w:hAnsi="Garamond"/>
          <w:lang w:val="en-US"/>
        </w:rPr>
        <w:t xml:space="preserve">, </w:t>
      </w:r>
      <w:r w:rsidR="0067431C" w:rsidRPr="005602A7">
        <w:rPr>
          <w:rFonts w:ascii="Garamond" w:hAnsi="Garamond"/>
          <w:i/>
          <w:iCs/>
          <w:lang w:val="en-US"/>
        </w:rPr>
        <w:t>The Role of Authority</w:t>
      </w:r>
      <w:r w:rsidR="0067431C" w:rsidRPr="005602A7">
        <w:rPr>
          <w:rFonts w:ascii="Garamond" w:hAnsi="Garamond"/>
          <w:lang w:val="en-US"/>
        </w:rPr>
        <w:t xml:space="preserve">, </w:t>
      </w:r>
      <w:r w:rsidR="00015179" w:rsidRPr="005602A7">
        <w:rPr>
          <w:rFonts w:ascii="Garamond" w:hAnsi="Garamond"/>
          <w:i/>
          <w:iCs/>
          <w:lang w:val="en-US"/>
        </w:rPr>
        <w:t xml:space="preserve">supra </w:t>
      </w:r>
      <w:r w:rsidR="00015179" w:rsidRPr="005602A7">
        <w:rPr>
          <w:rFonts w:ascii="Garamond" w:hAnsi="Garamond"/>
          <w:lang w:val="en-US"/>
        </w:rPr>
        <w:t>note 112 at</w:t>
      </w:r>
      <w:r w:rsidR="00914522" w:rsidRPr="005602A7">
        <w:rPr>
          <w:rFonts w:ascii="Garamond" w:hAnsi="Garamond"/>
          <w:lang w:val="en-US"/>
        </w:rPr>
        <w:t xml:space="preserve"> </w:t>
      </w:r>
      <w:r w:rsidR="001C4F5C" w:rsidRPr="005602A7">
        <w:rPr>
          <w:rFonts w:ascii="Garamond" w:hAnsi="Garamond"/>
        </w:rPr>
        <w:t>3</w:t>
      </w:r>
      <w:r w:rsidR="007740BB" w:rsidRPr="005602A7">
        <w:rPr>
          <w:rFonts w:ascii="Garamond" w:hAnsi="Garamond"/>
        </w:rPr>
        <w:t>.</w:t>
      </w:r>
    </w:p>
  </w:footnote>
  <w:footnote w:id="117">
    <w:p w14:paraId="2EA4DBC9" w14:textId="1FAAF1A8" w:rsidR="004732F9" w:rsidRPr="005602A7" w:rsidRDefault="004732F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proofErr w:type="spellStart"/>
      <w:proofErr w:type="gramStart"/>
      <w:r w:rsidR="00015179" w:rsidRPr="005602A7">
        <w:rPr>
          <w:rFonts w:ascii="Garamond" w:hAnsi="Garamond"/>
          <w:lang w:val="en-US"/>
        </w:rPr>
        <w:t>Hershovitz</w:t>
      </w:r>
      <w:proofErr w:type="spellEnd"/>
      <w:r w:rsidR="00015179" w:rsidRPr="005602A7">
        <w:rPr>
          <w:rFonts w:ascii="Garamond" w:hAnsi="Garamond"/>
          <w:lang w:val="en-US"/>
        </w:rPr>
        <w:t xml:space="preserve">, </w:t>
      </w:r>
      <w:r w:rsidR="0067431C" w:rsidRPr="005602A7">
        <w:rPr>
          <w:rFonts w:ascii="Garamond" w:hAnsi="Garamond"/>
          <w:lang w:val="en-US"/>
        </w:rPr>
        <w:t xml:space="preserve"> </w:t>
      </w:r>
      <w:r w:rsidR="0067431C" w:rsidRPr="005602A7">
        <w:rPr>
          <w:rFonts w:ascii="Garamond" w:hAnsi="Garamond"/>
          <w:i/>
          <w:iCs/>
          <w:lang w:val="en-US"/>
        </w:rPr>
        <w:t>The</w:t>
      </w:r>
      <w:proofErr w:type="gramEnd"/>
      <w:r w:rsidR="0067431C" w:rsidRPr="005602A7">
        <w:rPr>
          <w:rFonts w:ascii="Garamond" w:hAnsi="Garamond"/>
          <w:i/>
          <w:iCs/>
          <w:lang w:val="en-US"/>
        </w:rPr>
        <w:t xml:space="preserve"> Role of Authority</w:t>
      </w:r>
      <w:r w:rsidR="0067431C" w:rsidRPr="005602A7">
        <w:rPr>
          <w:rFonts w:ascii="Garamond" w:hAnsi="Garamond"/>
          <w:lang w:val="en-US"/>
        </w:rPr>
        <w:t xml:space="preserve">, </w:t>
      </w:r>
      <w:r w:rsidR="00015179" w:rsidRPr="005602A7">
        <w:rPr>
          <w:rFonts w:ascii="Garamond" w:hAnsi="Garamond"/>
          <w:i/>
          <w:iCs/>
          <w:lang w:val="en-US"/>
        </w:rPr>
        <w:t xml:space="preserve">supra </w:t>
      </w:r>
      <w:r w:rsidR="00015179" w:rsidRPr="005602A7">
        <w:rPr>
          <w:rFonts w:ascii="Garamond" w:hAnsi="Garamond"/>
          <w:lang w:val="en-US"/>
        </w:rPr>
        <w:t>note 112 at 5.</w:t>
      </w:r>
      <w:r w:rsidR="005107F8" w:rsidRPr="005602A7">
        <w:rPr>
          <w:rFonts w:ascii="Garamond" w:hAnsi="Garamond"/>
          <w:lang w:val="en-US"/>
        </w:rPr>
        <w:t xml:space="preserve"> </w:t>
      </w:r>
    </w:p>
  </w:footnote>
  <w:footnote w:id="118">
    <w:p w14:paraId="0A2761CB" w14:textId="5ED6C145" w:rsidR="00CE197F" w:rsidRPr="005602A7" w:rsidRDefault="00CE197F"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I adopt a methodology of institutional moral reasoning propounded by Buchanan and modified by Lee. For more, see: Allen Buchanan, </w:t>
      </w:r>
      <w:r w:rsidRPr="005602A7">
        <w:rPr>
          <w:rFonts w:ascii="Garamond" w:hAnsi="Garamond"/>
          <w:i/>
          <w:iCs/>
        </w:rPr>
        <w:t>Theories of Secession</w:t>
      </w:r>
      <w:r w:rsidRPr="005602A7">
        <w:rPr>
          <w:rFonts w:ascii="Garamond" w:hAnsi="Garamond"/>
        </w:rPr>
        <w:t xml:space="preserve">, 26(1) </w:t>
      </w:r>
      <w:r w:rsidRPr="005602A7">
        <w:rPr>
          <w:rFonts w:ascii="Garamond" w:hAnsi="Garamond"/>
          <w:smallCaps/>
        </w:rPr>
        <w:t>Philosophy and Public Affairs</w:t>
      </w:r>
      <w:r w:rsidRPr="005602A7">
        <w:rPr>
          <w:rFonts w:ascii="Garamond" w:hAnsi="Garamond"/>
        </w:rPr>
        <w:t xml:space="preserve">, </w:t>
      </w:r>
      <w:r w:rsidRPr="005602A7">
        <w:rPr>
          <w:rFonts w:ascii="Garamond" w:hAnsi="Garamond"/>
          <w:smallCaps/>
        </w:rPr>
        <w:t>31-61</w:t>
      </w:r>
      <w:r w:rsidRPr="005602A7">
        <w:rPr>
          <w:rFonts w:ascii="Garamond" w:hAnsi="Garamond"/>
        </w:rPr>
        <w:t xml:space="preserve"> (1997); Hsin-wen Lee, </w:t>
      </w:r>
      <w:r w:rsidRPr="005602A7">
        <w:rPr>
          <w:rFonts w:ascii="Garamond" w:hAnsi="Garamond"/>
          <w:i/>
          <w:iCs/>
        </w:rPr>
        <w:t>Institutional Morality and the principle of national self-determination</w:t>
      </w:r>
      <w:r w:rsidRPr="005602A7">
        <w:rPr>
          <w:rFonts w:ascii="Garamond" w:hAnsi="Garamond"/>
        </w:rPr>
        <w:t xml:space="preserve">, 172(1) </w:t>
      </w:r>
      <w:r w:rsidRPr="005602A7">
        <w:rPr>
          <w:rFonts w:ascii="Garamond" w:hAnsi="Garamond"/>
          <w:smallCaps/>
        </w:rPr>
        <w:t>Philosophical Studies: An International Journal for Philosophy in the Analytic Tradition</w:t>
      </w:r>
      <w:r w:rsidRPr="005602A7">
        <w:rPr>
          <w:rFonts w:ascii="Garamond" w:hAnsi="Garamond"/>
        </w:rPr>
        <w:t xml:space="preserve">, Special Issue, The Gettier Problem at 50 (Jan 2015) pp. 207-226. Additionally, the three principles in this section are </w:t>
      </w:r>
      <w:proofErr w:type="spellStart"/>
      <w:r w:rsidRPr="005602A7">
        <w:rPr>
          <w:rFonts w:ascii="Garamond" w:hAnsi="Garamond"/>
        </w:rPr>
        <w:t>metalegal</w:t>
      </w:r>
      <w:proofErr w:type="spellEnd"/>
      <w:r w:rsidRPr="005602A7">
        <w:rPr>
          <w:rFonts w:ascii="Garamond" w:hAnsi="Garamond"/>
        </w:rPr>
        <w:t xml:space="preserve"> principles i.e., “principles generated in a philosophical or ethical discourse and introduced from there into a legal normative system”. See, Rüdiger Wolfrum, </w:t>
      </w:r>
      <w:r w:rsidRPr="005602A7">
        <w:rPr>
          <w:rFonts w:ascii="Garamond" w:hAnsi="Garamond"/>
          <w:i/>
          <w:iCs/>
        </w:rPr>
        <w:t>General International Law (Principles, Rules and Standards)</w:t>
      </w:r>
      <w:r w:rsidRPr="005602A7">
        <w:rPr>
          <w:rFonts w:ascii="Garamond" w:hAnsi="Garamond"/>
        </w:rPr>
        <w:t xml:space="preserve">, </w:t>
      </w:r>
      <w:r w:rsidRPr="005602A7">
        <w:rPr>
          <w:rFonts w:ascii="Garamond" w:hAnsi="Garamond"/>
          <w:smallCaps/>
        </w:rPr>
        <w:t xml:space="preserve">Max Planck </w:t>
      </w:r>
      <w:proofErr w:type="spellStart"/>
      <w:r w:rsidRPr="005602A7">
        <w:rPr>
          <w:rFonts w:ascii="Garamond" w:hAnsi="Garamond"/>
          <w:smallCaps/>
        </w:rPr>
        <w:t>Encyclopedia</w:t>
      </w:r>
      <w:proofErr w:type="spellEnd"/>
      <w:r w:rsidRPr="005602A7">
        <w:rPr>
          <w:rFonts w:ascii="Garamond" w:hAnsi="Garamond"/>
          <w:smallCaps/>
        </w:rPr>
        <w:t xml:space="preserve"> of Public International Law (2010); </w:t>
      </w:r>
      <w:r w:rsidRPr="005602A7">
        <w:rPr>
          <w:rFonts w:ascii="Garamond" w:hAnsi="Garamond"/>
          <w:lang w:val="en-US"/>
        </w:rPr>
        <w:t xml:space="preserve">Since sovereignty is an institutional concept, and we are concerned with impacts on the norm (not assessing the value of the institution), we turn to institutional moral reasoning. See, </w:t>
      </w:r>
      <w:r w:rsidR="00FA09F6" w:rsidRPr="005602A7">
        <w:rPr>
          <w:rFonts w:ascii="Garamond" w:hAnsi="Garamond"/>
          <w:lang w:val="en-US"/>
        </w:rPr>
        <w:t xml:space="preserve">Lefkowitz, </w:t>
      </w:r>
      <w:r w:rsidR="00BA5177" w:rsidRPr="005602A7">
        <w:rPr>
          <w:rFonts w:ascii="Garamond" w:hAnsi="Garamond"/>
          <w:i/>
          <w:iCs/>
        </w:rPr>
        <w:t>International Law, Institutional Moral Reasoning and Secession,</w:t>
      </w:r>
      <w:r w:rsidRPr="005602A7">
        <w:rPr>
          <w:rFonts w:ascii="Garamond" w:hAnsi="Garamond"/>
          <w:lang w:val="en-US"/>
        </w:rPr>
        <w:t xml:space="preserve"> </w:t>
      </w:r>
      <w:r w:rsidR="00703CCF" w:rsidRPr="005602A7">
        <w:rPr>
          <w:rFonts w:ascii="Garamond" w:hAnsi="Garamond"/>
          <w:i/>
          <w:iCs/>
          <w:lang w:val="en-US"/>
        </w:rPr>
        <w:t>supra</w:t>
      </w:r>
      <w:r w:rsidR="00703CCF" w:rsidRPr="005602A7">
        <w:rPr>
          <w:rFonts w:ascii="Garamond" w:hAnsi="Garamond"/>
          <w:lang w:val="en-US"/>
        </w:rPr>
        <w:t xml:space="preserve"> note 54, </w:t>
      </w:r>
      <w:r w:rsidRPr="005602A7">
        <w:rPr>
          <w:rFonts w:ascii="Garamond" w:hAnsi="Garamond"/>
          <w:lang w:val="en-US"/>
        </w:rPr>
        <w:t xml:space="preserve">for an argument on why inherently institutional concepts are best evaluated for reform, through institutional moral reasoning.  </w:t>
      </w:r>
      <w:r w:rsidRPr="005602A7">
        <w:rPr>
          <w:rFonts w:ascii="Garamond" w:hAnsi="Garamond"/>
        </w:rPr>
        <w:t xml:space="preserve"> </w:t>
      </w:r>
    </w:p>
  </w:footnote>
  <w:footnote w:id="119">
    <w:p w14:paraId="318C7FC5" w14:textId="566A2A54" w:rsidR="008F554A" w:rsidRPr="005602A7" w:rsidRDefault="008F554A" w:rsidP="008F554A">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Buchanan</w:t>
      </w:r>
      <w:r w:rsidR="001C2B14" w:rsidRPr="005602A7">
        <w:rPr>
          <w:rFonts w:ascii="Garamond" w:hAnsi="Garamond"/>
        </w:rPr>
        <w:t xml:space="preserve">, </w:t>
      </w:r>
      <w:r w:rsidR="001C2B14" w:rsidRPr="005602A7">
        <w:rPr>
          <w:rFonts w:ascii="Garamond" w:hAnsi="Garamond"/>
          <w:i/>
          <w:iCs/>
        </w:rPr>
        <w:t>Theories of Secession, supra</w:t>
      </w:r>
      <w:r w:rsidR="001C2B14" w:rsidRPr="005602A7">
        <w:rPr>
          <w:rFonts w:ascii="Garamond" w:hAnsi="Garamond"/>
        </w:rPr>
        <w:t xml:space="preserve"> note 117. </w:t>
      </w:r>
    </w:p>
  </w:footnote>
  <w:footnote w:id="120">
    <w:p w14:paraId="0BC3534E" w14:textId="572F8939"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937C17" w:rsidRPr="005602A7">
        <w:rPr>
          <w:rFonts w:ascii="Garamond" w:hAnsi="Garamond"/>
        </w:rPr>
        <w:t xml:space="preserve">Anna Stilz, </w:t>
      </w:r>
      <w:r w:rsidR="00937C17" w:rsidRPr="005602A7">
        <w:rPr>
          <w:rFonts w:ascii="Garamond" w:hAnsi="Garamond"/>
          <w:i/>
          <w:iCs/>
        </w:rPr>
        <w:t>The Value of Self Determination, in</w:t>
      </w:r>
      <w:r w:rsidR="00937C17" w:rsidRPr="005602A7">
        <w:rPr>
          <w:rFonts w:ascii="Garamond" w:hAnsi="Garamond"/>
        </w:rPr>
        <w:t xml:space="preserve"> </w:t>
      </w:r>
      <w:r w:rsidR="000B7161" w:rsidRPr="005602A7">
        <w:rPr>
          <w:rFonts w:ascii="Garamond" w:hAnsi="Garamond"/>
          <w:smallCaps/>
        </w:rPr>
        <w:t>Oxford Studies in Political Philosophy</w:t>
      </w:r>
      <w:r w:rsidR="000B7161" w:rsidRPr="005602A7">
        <w:rPr>
          <w:rFonts w:ascii="Garamond" w:hAnsi="Garamond"/>
        </w:rPr>
        <w:t xml:space="preserve"> </w:t>
      </w:r>
      <w:r w:rsidR="000B7161" w:rsidRPr="005602A7">
        <w:rPr>
          <w:rFonts w:ascii="Garamond" w:hAnsi="Garamond"/>
          <w:smallCaps/>
        </w:rPr>
        <w:t>Vol. 2</w:t>
      </w:r>
      <w:r w:rsidR="000B7161" w:rsidRPr="005602A7">
        <w:rPr>
          <w:rFonts w:ascii="Garamond" w:hAnsi="Garamond"/>
        </w:rPr>
        <w:t xml:space="preserve">, (David Sobel, Peter </w:t>
      </w:r>
      <w:proofErr w:type="spellStart"/>
      <w:r w:rsidR="000B7161" w:rsidRPr="005602A7">
        <w:rPr>
          <w:rFonts w:ascii="Garamond" w:hAnsi="Garamond"/>
        </w:rPr>
        <w:t>Vallentyne</w:t>
      </w:r>
      <w:proofErr w:type="spellEnd"/>
      <w:r w:rsidR="000B7161" w:rsidRPr="005602A7">
        <w:rPr>
          <w:rFonts w:ascii="Garamond" w:hAnsi="Garamond"/>
        </w:rPr>
        <w:t>, Steven Wall, eds, 2016, OUP).</w:t>
      </w:r>
    </w:p>
  </w:footnote>
  <w:footnote w:id="121">
    <w:p w14:paraId="5F5F80D8" w14:textId="388605F3"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015179" w:rsidRPr="005602A7">
        <w:rPr>
          <w:rFonts w:ascii="Garamond" w:hAnsi="Garamond"/>
        </w:rPr>
        <w:t xml:space="preserve">Besson, </w:t>
      </w:r>
      <w:r w:rsidR="0067431C" w:rsidRPr="005602A7">
        <w:rPr>
          <w:rFonts w:ascii="Garamond" w:hAnsi="Garamond"/>
          <w:i/>
          <w:iCs/>
        </w:rPr>
        <w:t xml:space="preserve">The Authority of International Law, </w:t>
      </w:r>
      <w:r w:rsidR="00015179" w:rsidRPr="005602A7">
        <w:rPr>
          <w:rFonts w:ascii="Garamond" w:hAnsi="Garamond"/>
          <w:i/>
          <w:iCs/>
        </w:rPr>
        <w:t>supra</w:t>
      </w:r>
      <w:r w:rsidR="00015179" w:rsidRPr="005602A7">
        <w:rPr>
          <w:rFonts w:ascii="Garamond" w:hAnsi="Garamond"/>
        </w:rPr>
        <w:t xml:space="preserve"> note 90 at </w:t>
      </w:r>
      <w:r w:rsidRPr="005602A7">
        <w:rPr>
          <w:rFonts w:ascii="Garamond" w:hAnsi="Garamond"/>
          <w:lang w:val="en-US"/>
        </w:rPr>
        <w:t xml:space="preserve">360; </w:t>
      </w:r>
      <w:r w:rsidR="00356492" w:rsidRPr="005602A7">
        <w:rPr>
          <w:rFonts w:ascii="Garamond" w:hAnsi="Garamond"/>
          <w:lang w:val="en-US"/>
        </w:rPr>
        <w:t>Liam Murphy</w:t>
      </w:r>
      <w:r w:rsidR="006B361E" w:rsidRPr="005602A7">
        <w:rPr>
          <w:rFonts w:ascii="Garamond" w:hAnsi="Garamond"/>
          <w:lang w:val="en-US"/>
        </w:rPr>
        <w:t xml:space="preserve">, </w:t>
      </w:r>
      <w:r w:rsidR="006B361E" w:rsidRPr="005602A7">
        <w:rPr>
          <w:rFonts w:ascii="Garamond" w:hAnsi="Garamond"/>
          <w:i/>
          <w:iCs/>
          <w:lang w:val="en-US"/>
        </w:rPr>
        <w:t>International Responsibility</w:t>
      </w:r>
      <w:r w:rsidR="001657D5" w:rsidRPr="005602A7">
        <w:rPr>
          <w:rFonts w:ascii="Garamond" w:hAnsi="Garamond"/>
          <w:i/>
          <w:iCs/>
          <w:lang w:val="en-US"/>
        </w:rPr>
        <w:t xml:space="preserve">, in </w:t>
      </w:r>
      <w:r w:rsidR="00356492" w:rsidRPr="005602A7">
        <w:rPr>
          <w:rFonts w:ascii="Garamond" w:hAnsi="Garamond"/>
          <w:smallCaps/>
        </w:rPr>
        <w:t>The Philosophy of International Law</w:t>
      </w:r>
      <w:r w:rsidR="00356492" w:rsidRPr="005602A7">
        <w:rPr>
          <w:rFonts w:ascii="Garamond" w:hAnsi="Garamond"/>
        </w:rPr>
        <w:t>, (Besson and Tasioulas, eds) OUP, (2010)</w:t>
      </w:r>
      <w:r w:rsidR="001657D5" w:rsidRPr="005602A7">
        <w:rPr>
          <w:rFonts w:ascii="Garamond" w:hAnsi="Garamond"/>
        </w:rPr>
        <w:t xml:space="preserve"> 301</w:t>
      </w:r>
      <w:r w:rsidR="00356492" w:rsidRPr="005602A7">
        <w:rPr>
          <w:rFonts w:ascii="Garamond" w:hAnsi="Garamond"/>
        </w:rPr>
        <w:t>.</w:t>
      </w:r>
    </w:p>
  </w:footnote>
  <w:footnote w:id="122">
    <w:p w14:paraId="6DDED06F" w14:textId="697E8286"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E87FDF" w:rsidRPr="005602A7">
        <w:rPr>
          <w:rFonts w:ascii="Garamond" w:hAnsi="Garamond"/>
        </w:rPr>
        <w:t xml:space="preserve">Peters, </w:t>
      </w:r>
      <w:r w:rsidR="004E06CC" w:rsidRPr="005602A7">
        <w:rPr>
          <w:rFonts w:ascii="Garamond" w:hAnsi="Garamond"/>
          <w:i/>
          <w:iCs/>
        </w:rPr>
        <w:t>Humanity as the Alpha and Omega of Sovereignty</w:t>
      </w:r>
      <w:r w:rsidR="004E06CC" w:rsidRPr="005602A7">
        <w:rPr>
          <w:rFonts w:ascii="Garamond" w:hAnsi="Garamond"/>
        </w:rPr>
        <w:t xml:space="preserve">, </w:t>
      </w:r>
      <w:r w:rsidR="00E87FDF" w:rsidRPr="005602A7">
        <w:rPr>
          <w:rFonts w:ascii="Garamond" w:hAnsi="Garamond"/>
          <w:i/>
          <w:iCs/>
        </w:rPr>
        <w:t>supra</w:t>
      </w:r>
      <w:r w:rsidR="00E87FDF" w:rsidRPr="005602A7">
        <w:rPr>
          <w:rFonts w:ascii="Garamond" w:hAnsi="Garamond"/>
        </w:rPr>
        <w:t xml:space="preserve"> note 41 at </w:t>
      </w:r>
      <w:r w:rsidRPr="005602A7">
        <w:rPr>
          <w:rFonts w:ascii="Garamond" w:hAnsi="Garamond"/>
        </w:rPr>
        <w:t>516</w:t>
      </w:r>
      <w:r w:rsidR="00356492" w:rsidRPr="005602A7">
        <w:rPr>
          <w:rFonts w:ascii="Garamond" w:hAnsi="Garamond"/>
        </w:rPr>
        <w:t xml:space="preserve">; </w:t>
      </w:r>
      <w:r w:rsidR="00C54FAE" w:rsidRPr="005602A7">
        <w:rPr>
          <w:rFonts w:ascii="Garamond" w:hAnsi="Garamond"/>
        </w:rPr>
        <w:t xml:space="preserve">Military and Paramilitary Activities in and against Nicaragua, Nicaragua v United States, Judgment on Jurisdiction and Admissibility [1984] ICJ Rep 392, </w:t>
      </w:r>
      <w:r w:rsidR="00CE2798" w:rsidRPr="005602A7">
        <w:rPr>
          <w:rFonts w:ascii="Garamond" w:hAnsi="Garamond"/>
        </w:rPr>
        <w:t>at para</w:t>
      </w:r>
      <w:r w:rsidRPr="005602A7">
        <w:rPr>
          <w:rFonts w:ascii="Garamond" w:hAnsi="Garamond"/>
        </w:rPr>
        <w:t xml:space="preserve"> 263.</w:t>
      </w:r>
    </w:p>
  </w:footnote>
  <w:footnote w:id="123">
    <w:p w14:paraId="17EF16BB" w14:textId="00808CDB"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08408D" w:rsidRPr="005602A7">
        <w:rPr>
          <w:rFonts w:ascii="Garamond" w:hAnsi="Garamond"/>
          <w:smallCaps/>
        </w:rPr>
        <w:t xml:space="preserve">Anna </w:t>
      </w:r>
      <w:r w:rsidRPr="005602A7">
        <w:rPr>
          <w:rFonts w:ascii="Garamond" w:hAnsi="Garamond"/>
          <w:smallCaps/>
          <w:lang w:val="en-US"/>
        </w:rPr>
        <w:t>Stilz</w:t>
      </w:r>
      <w:r w:rsidR="0008408D" w:rsidRPr="005602A7">
        <w:rPr>
          <w:rFonts w:ascii="Garamond" w:hAnsi="Garamond"/>
          <w:smallCaps/>
          <w:lang w:val="en-US"/>
        </w:rPr>
        <w:t>, Territorial Sovereignty: A Philosophical Exploration,</w:t>
      </w:r>
      <w:r w:rsidR="0008408D" w:rsidRPr="005602A7">
        <w:rPr>
          <w:rFonts w:ascii="Garamond" w:hAnsi="Garamond"/>
          <w:lang w:val="en-US"/>
        </w:rPr>
        <w:t xml:space="preserve"> </w:t>
      </w:r>
      <w:r w:rsidR="001657D5" w:rsidRPr="005602A7">
        <w:rPr>
          <w:rFonts w:ascii="Garamond" w:hAnsi="Garamond"/>
          <w:lang w:val="en-US"/>
        </w:rPr>
        <w:t>(</w:t>
      </w:r>
      <w:r w:rsidR="0008408D" w:rsidRPr="005602A7">
        <w:rPr>
          <w:rFonts w:ascii="Garamond" w:hAnsi="Garamond"/>
          <w:lang w:val="en-US"/>
        </w:rPr>
        <w:t>OUP 2019</w:t>
      </w:r>
      <w:r w:rsidR="001657D5" w:rsidRPr="005602A7">
        <w:rPr>
          <w:rFonts w:ascii="Garamond" w:hAnsi="Garamond"/>
          <w:lang w:val="en-US"/>
        </w:rPr>
        <w:t>)</w:t>
      </w:r>
      <w:r w:rsidRPr="005602A7">
        <w:rPr>
          <w:rFonts w:ascii="Garamond" w:hAnsi="Garamond"/>
          <w:lang w:val="en-US"/>
        </w:rPr>
        <w:t xml:space="preserve"> 94</w:t>
      </w:r>
      <w:r w:rsidR="0008408D" w:rsidRPr="005602A7">
        <w:rPr>
          <w:rFonts w:ascii="Garamond" w:hAnsi="Garamond"/>
          <w:lang w:val="en-US"/>
        </w:rPr>
        <w:t>.</w:t>
      </w:r>
      <w:r w:rsidRPr="005602A7">
        <w:rPr>
          <w:rFonts w:ascii="Garamond" w:hAnsi="Garamond"/>
          <w:lang w:val="en-US"/>
        </w:rPr>
        <w:t xml:space="preserve"> </w:t>
      </w:r>
    </w:p>
  </w:footnote>
  <w:footnote w:id="124">
    <w:p w14:paraId="4A47C6B2" w14:textId="4C2BD540"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6B361E" w:rsidRPr="005602A7">
        <w:rPr>
          <w:rFonts w:ascii="Garamond" w:hAnsi="Garamond"/>
        </w:rPr>
        <w:t xml:space="preserve">Jeremy </w:t>
      </w:r>
      <w:r w:rsidRPr="005602A7">
        <w:rPr>
          <w:rFonts w:ascii="Garamond" w:hAnsi="Garamond"/>
          <w:lang w:val="en-US"/>
        </w:rPr>
        <w:t>Waldron</w:t>
      </w:r>
      <w:r w:rsidR="006B361E" w:rsidRPr="005602A7">
        <w:rPr>
          <w:rFonts w:ascii="Garamond" w:hAnsi="Garamond"/>
          <w:lang w:val="en-US"/>
        </w:rPr>
        <w:t xml:space="preserve">, </w:t>
      </w:r>
      <w:r w:rsidR="006B361E" w:rsidRPr="005602A7">
        <w:rPr>
          <w:rFonts w:ascii="Garamond" w:hAnsi="Garamond"/>
          <w:i/>
          <w:iCs/>
          <w:lang w:val="en-US"/>
        </w:rPr>
        <w:t>Two Conceptions of Self-Determination</w:t>
      </w:r>
      <w:r w:rsidR="006B361E" w:rsidRPr="005602A7">
        <w:rPr>
          <w:rFonts w:ascii="Garamond" w:hAnsi="Garamond"/>
          <w:lang w:val="en-US"/>
        </w:rPr>
        <w:t>,</w:t>
      </w:r>
      <w:r w:rsidR="006B361E" w:rsidRPr="005602A7">
        <w:rPr>
          <w:rFonts w:ascii="Garamond" w:hAnsi="Garamond"/>
          <w:i/>
          <w:iCs/>
          <w:lang w:val="en-US"/>
        </w:rPr>
        <w:t xml:space="preserve"> </w:t>
      </w:r>
      <w:r w:rsidR="006B361E" w:rsidRPr="005602A7">
        <w:rPr>
          <w:rFonts w:ascii="Garamond" w:hAnsi="Garamond"/>
          <w:i/>
          <w:iCs/>
        </w:rPr>
        <w:t>in</w:t>
      </w:r>
      <w:r w:rsidR="006B361E" w:rsidRPr="005602A7">
        <w:rPr>
          <w:rFonts w:ascii="Garamond" w:hAnsi="Garamond"/>
        </w:rPr>
        <w:t xml:space="preserve"> </w:t>
      </w:r>
      <w:r w:rsidR="006B361E" w:rsidRPr="005602A7">
        <w:rPr>
          <w:rFonts w:ascii="Garamond" w:hAnsi="Garamond"/>
          <w:smallCaps/>
        </w:rPr>
        <w:t>The Philosophy of International Law</w:t>
      </w:r>
      <w:r w:rsidR="006B361E" w:rsidRPr="005602A7">
        <w:rPr>
          <w:rFonts w:ascii="Garamond" w:hAnsi="Garamond"/>
        </w:rPr>
        <w:t xml:space="preserve"> (Besson and Tasioulas, eds</w:t>
      </w:r>
      <w:r w:rsidR="001657D5" w:rsidRPr="005602A7">
        <w:rPr>
          <w:rFonts w:ascii="Garamond" w:hAnsi="Garamond"/>
        </w:rPr>
        <w:t>,</w:t>
      </w:r>
      <w:r w:rsidR="006B361E" w:rsidRPr="005602A7">
        <w:rPr>
          <w:rFonts w:ascii="Garamond" w:hAnsi="Garamond"/>
        </w:rPr>
        <w:t xml:space="preserve"> OUP, 2010)</w:t>
      </w:r>
      <w:r w:rsidR="001657D5" w:rsidRPr="005602A7">
        <w:rPr>
          <w:rFonts w:ascii="Garamond" w:hAnsi="Garamond"/>
        </w:rPr>
        <w:t xml:space="preserve"> 408</w:t>
      </w:r>
      <w:r w:rsidR="006B361E" w:rsidRPr="005602A7">
        <w:rPr>
          <w:rFonts w:ascii="Garamond" w:hAnsi="Garamond"/>
        </w:rPr>
        <w:t>.</w:t>
      </w:r>
    </w:p>
  </w:footnote>
  <w:footnote w:id="125">
    <w:p w14:paraId="3E9E6E6F" w14:textId="55289B54"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64651D" w:rsidRPr="005602A7">
        <w:rPr>
          <w:rFonts w:ascii="Garamond" w:hAnsi="Garamond"/>
        </w:rPr>
        <w:t xml:space="preserve">Stilz, </w:t>
      </w:r>
      <w:r w:rsidR="0067431C" w:rsidRPr="005602A7">
        <w:rPr>
          <w:rFonts w:ascii="Garamond" w:hAnsi="Garamond"/>
          <w:i/>
          <w:iCs/>
        </w:rPr>
        <w:t xml:space="preserve">The Value of Self Determination, </w:t>
      </w:r>
      <w:r w:rsidR="00015179" w:rsidRPr="005602A7">
        <w:rPr>
          <w:rFonts w:ascii="Garamond" w:hAnsi="Garamond"/>
          <w:i/>
          <w:iCs/>
        </w:rPr>
        <w:t xml:space="preserve">supra </w:t>
      </w:r>
      <w:r w:rsidR="00015179" w:rsidRPr="005602A7">
        <w:rPr>
          <w:rFonts w:ascii="Garamond" w:hAnsi="Garamond"/>
        </w:rPr>
        <w:t xml:space="preserve">note 119 </w:t>
      </w:r>
      <w:r w:rsidR="00356492" w:rsidRPr="005602A7">
        <w:rPr>
          <w:rFonts w:ascii="Garamond" w:hAnsi="Garamond"/>
        </w:rPr>
        <w:t xml:space="preserve">at 112. </w:t>
      </w:r>
    </w:p>
  </w:footnote>
  <w:footnote w:id="126">
    <w:p w14:paraId="3DC61924" w14:textId="3A300440" w:rsidR="008601C5" w:rsidRPr="005602A7" w:rsidRDefault="008601C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1C2B14" w:rsidRPr="005602A7">
        <w:rPr>
          <w:rFonts w:ascii="Garamond" w:hAnsi="Garamond"/>
        </w:rPr>
        <w:t xml:space="preserve">Besson, </w:t>
      </w:r>
      <w:r w:rsidR="001C2B14" w:rsidRPr="005602A7">
        <w:rPr>
          <w:rFonts w:ascii="Garamond" w:hAnsi="Garamond"/>
          <w:i/>
          <w:iCs/>
        </w:rPr>
        <w:t>supra</w:t>
      </w:r>
      <w:r w:rsidR="001C2B14" w:rsidRPr="005602A7">
        <w:rPr>
          <w:rFonts w:ascii="Garamond" w:hAnsi="Garamond"/>
        </w:rPr>
        <w:t xml:space="preserve"> note 87.</w:t>
      </w:r>
    </w:p>
  </w:footnote>
  <w:footnote w:id="127">
    <w:p w14:paraId="5EFF7502" w14:textId="1A1E5710"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08408D" w:rsidRPr="005602A7">
        <w:rPr>
          <w:rFonts w:ascii="Garamond" w:hAnsi="Garamond"/>
        </w:rPr>
        <w:t xml:space="preserve">Avishai Margalit and Joseph Raz, </w:t>
      </w:r>
      <w:r w:rsidR="0008408D" w:rsidRPr="005602A7">
        <w:rPr>
          <w:rFonts w:ascii="Garamond" w:hAnsi="Garamond"/>
          <w:i/>
          <w:iCs/>
        </w:rPr>
        <w:t>National Self-determination</w:t>
      </w:r>
      <w:r w:rsidR="0008408D" w:rsidRPr="005602A7">
        <w:rPr>
          <w:rFonts w:ascii="Garamond" w:hAnsi="Garamond"/>
        </w:rPr>
        <w:t xml:space="preserve">, </w:t>
      </w:r>
      <w:r w:rsidR="001657D5" w:rsidRPr="005602A7">
        <w:rPr>
          <w:rFonts w:ascii="Garamond" w:hAnsi="Garamond"/>
        </w:rPr>
        <w:t xml:space="preserve">87(9) </w:t>
      </w:r>
      <w:r w:rsidR="0008408D" w:rsidRPr="005602A7">
        <w:rPr>
          <w:rFonts w:ascii="Garamond" w:hAnsi="Garamond"/>
          <w:smallCaps/>
        </w:rPr>
        <w:t>Journal of Philosophy</w:t>
      </w:r>
      <w:r w:rsidR="0008408D" w:rsidRPr="005602A7">
        <w:rPr>
          <w:rFonts w:ascii="Garamond" w:hAnsi="Garamond"/>
        </w:rPr>
        <w:t xml:space="preserve"> 439, </w:t>
      </w:r>
      <w:r w:rsidRPr="005602A7">
        <w:rPr>
          <w:rFonts w:ascii="Garamond" w:hAnsi="Garamond"/>
        </w:rPr>
        <w:t>443- 448</w:t>
      </w:r>
      <w:r w:rsidR="0008408D" w:rsidRPr="005602A7">
        <w:rPr>
          <w:rFonts w:ascii="Garamond" w:hAnsi="Garamond"/>
        </w:rPr>
        <w:t xml:space="preserve"> (1990).</w:t>
      </w:r>
    </w:p>
  </w:footnote>
  <w:footnote w:id="128">
    <w:p w14:paraId="0938C205" w14:textId="304B8DAE"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smallCaps/>
        </w:rPr>
        <w:t xml:space="preserve">James </w:t>
      </w:r>
      <w:r w:rsidR="0008408D" w:rsidRPr="005602A7">
        <w:rPr>
          <w:rFonts w:ascii="Garamond" w:hAnsi="Garamond"/>
          <w:smallCaps/>
        </w:rPr>
        <w:t>Griffin, On Human Rights</w:t>
      </w:r>
      <w:r w:rsidR="0008408D" w:rsidRPr="005602A7">
        <w:rPr>
          <w:rFonts w:ascii="Garamond" w:hAnsi="Garamond"/>
        </w:rPr>
        <w:t xml:space="preserve"> (OUP 2008)</w:t>
      </w:r>
      <w:r w:rsidRPr="005602A7">
        <w:rPr>
          <w:rFonts w:ascii="Garamond" w:hAnsi="Garamond"/>
        </w:rPr>
        <w:t xml:space="preserve"> 262</w:t>
      </w:r>
      <w:r w:rsidR="0008408D" w:rsidRPr="005602A7">
        <w:rPr>
          <w:rFonts w:ascii="Garamond" w:hAnsi="Garamond"/>
        </w:rPr>
        <w:t xml:space="preserve">. </w:t>
      </w:r>
      <w:r w:rsidRPr="005602A7">
        <w:rPr>
          <w:rFonts w:ascii="Garamond" w:hAnsi="Garamond"/>
        </w:rPr>
        <w:t xml:space="preserve"> </w:t>
      </w:r>
    </w:p>
  </w:footnote>
  <w:footnote w:id="129">
    <w:p w14:paraId="6177E9B2" w14:textId="1E43602E"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27EAD" w:rsidRPr="005602A7">
        <w:rPr>
          <w:rFonts w:ascii="Garamond" w:hAnsi="Garamond"/>
          <w:smallCaps/>
          <w:lang w:val="en-US"/>
        </w:rPr>
        <w:t xml:space="preserve">Stilz, </w:t>
      </w:r>
      <w:r w:rsidR="0067431C" w:rsidRPr="005602A7">
        <w:rPr>
          <w:rFonts w:ascii="Garamond" w:hAnsi="Garamond"/>
          <w:smallCaps/>
          <w:lang w:val="en-US"/>
        </w:rPr>
        <w:t>Territorial Sovereignty</w:t>
      </w:r>
      <w:r w:rsidR="0067431C" w:rsidRPr="005602A7">
        <w:rPr>
          <w:rFonts w:ascii="Garamond" w:hAnsi="Garamond"/>
          <w:i/>
          <w:iCs/>
          <w:lang w:val="en-US"/>
        </w:rPr>
        <w:t xml:space="preserve">, </w:t>
      </w:r>
      <w:r w:rsidR="00015179" w:rsidRPr="005602A7">
        <w:rPr>
          <w:rFonts w:ascii="Garamond" w:hAnsi="Garamond"/>
          <w:i/>
          <w:iCs/>
          <w:lang w:val="en-US"/>
        </w:rPr>
        <w:t>supra</w:t>
      </w:r>
      <w:r w:rsidR="00015179" w:rsidRPr="005602A7">
        <w:rPr>
          <w:rFonts w:ascii="Garamond" w:hAnsi="Garamond"/>
          <w:lang w:val="en-US"/>
        </w:rPr>
        <w:t xml:space="preserve"> note 122 at</w:t>
      </w:r>
      <w:r w:rsidR="00015179" w:rsidRPr="005602A7">
        <w:rPr>
          <w:rFonts w:ascii="Garamond" w:hAnsi="Garamond"/>
          <w:smallCaps/>
          <w:lang w:val="en-US"/>
        </w:rPr>
        <w:t xml:space="preserve"> </w:t>
      </w:r>
      <w:r w:rsidR="0008408D" w:rsidRPr="005602A7">
        <w:rPr>
          <w:rFonts w:ascii="Garamond" w:hAnsi="Garamond"/>
          <w:lang w:val="en-US"/>
        </w:rPr>
        <w:t>101.</w:t>
      </w:r>
    </w:p>
  </w:footnote>
  <w:footnote w:id="130">
    <w:p w14:paraId="504D2E20" w14:textId="621D4670"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8E5926" w:rsidRPr="005602A7">
        <w:rPr>
          <w:rFonts w:ascii="Garamond" w:hAnsi="Garamond"/>
        </w:rPr>
        <w:t xml:space="preserve">Andrew Altman and Christopher Heath Wellman, </w:t>
      </w:r>
      <w:r w:rsidR="008E5926" w:rsidRPr="005602A7">
        <w:rPr>
          <w:rFonts w:ascii="Garamond" w:hAnsi="Garamond"/>
          <w:i/>
          <w:iCs/>
        </w:rPr>
        <w:t>Self-Determination and Democracy in</w:t>
      </w:r>
      <w:r w:rsidR="008E5926" w:rsidRPr="005602A7">
        <w:rPr>
          <w:rFonts w:ascii="Garamond" w:hAnsi="Garamond"/>
        </w:rPr>
        <w:t xml:space="preserve"> </w:t>
      </w:r>
      <w:r w:rsidR="008E5926" w:rsidRPr="005602A7">
        <w:rPr>
          <w:rFonts w:ascii="Garamond" w:hAnsi="Garamond"/>
          <w:smallCaps/>
        </w:rPr>
        <w:t>A Liberal Theory of International Justice</w:t>
      </w:r>
      <w:r w:rsidR="008E5926" w:rsidRPr="005602A7">
        <w:rPr>
          <w:rFonts w:ascii="Garamond" w:hAnsi="Garamond"/>
        </w:rPr>
        <w:t xml:space="preserve"> (Altman and Wellman, OUP, 2009)</w:t>
      </w:r>
      <w:r w:rsidR="004949CD" w:rsidRPr="005602A7">
        <w:rPr>
          <w:rFonts w:ascii="Garamond" w:hAnsi="Garamond"/>
          <w:lang w:val="en-US"/>
        </w:rPr>
        <w:t>.</w:t>
      </w:r>
      <w:r w:rsidRPr="005602A7">
        <w:rPr>
          <w:rFonts w:ascii="Garamond" w:hAnsi="Garamond"/>
        </w:rPr>
        <w:t xml:space="preserve"> </w:t>
      </w:r>
    </w:p>
  </w:footnote>
  <w:footnote w:id="131">
    <w:p w14:paraId="3BEF6102" w14:textId="4D8D5B5F"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C54FAE" w:rsidRPr="005602A7">
        <w:rPr>
          <w:rFonts w:ascii="Garamond" w:hAnsi="Garamond"/>
        </w:rPr>
        <w:t>Koskenniemi</w:t>
      </w:r>
      <w:proofErr w:type="spellEnd"/>
      <w:r w:rsidR="00C54FAE" w:rsidRPr="005602A7">
        <w:rPr>
          <w:rFonts w:ascii="Garamond" w:hAnsi="Garamond"/>
        </w:rPr>
        <w:t xml:space="preserve">, </w:t>
      </w:r>
      <w:r w:rsidR="00BA5177" w:rsidRPr="005602A7">
        <w:rPr>
          <w:rFonts w:ascii="Garamond" w:hAnsi="Garamond"/>
          <w:i/>
          <w:iCs/>
        </w:rPr>
        <w:t>what use for sovereignty today?</w:t>
      </w:r>
      <w:r w:rsidR="00BA5177"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 xml:space="preserve">note 65 at </w:t>
      </w:r>
      <w:r w:rsidRPr="005602A7">
        <w:rPr>
          <w:rFonts w:ascii="Garamond" w:hAnsi="Garamond"/>
        </w:rPr>
        <w:t>77-78.</w:t>
      </w:r>
    </w:p>
  </w:footnote>
  <w:footnote w:id="132">
    <w:p w14:paraId="69696C54" w14:textId="02B9E81A"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914522" w:rsidRPr="005602A7">
        <w:rPr>
          <w:rFonts w:ascii="Garamond" w:hAnsi="Garamond"/>
        </w:rPr>
        <w:t xml:space="preserve">Altman and Wellman, </w:t>
      </w:r>
      <w:r w:rsidR="0067431C" w:rsidRPr="005602A7">
        <w:rPr>
          <w:rFonts w:ascii="Garamond" w:hAnsi="Garamond"/>
          <w:i/>
          <w:iCs/>
        </w:rPr>
        <w:t xml:space="preserve">Self-Determination and Democracy, </w:t>
      </w:r>
      <w:r w:rsidR="00015179" w:rsidRPr="005602A7">
        <w:rPr>
          <w:rFonts w:ascii="Garamond" w:hAnsi="Garamond"/>
          <w:i/>
          <w:iCs/>
        </w:rPr>
        <w:t xml:space="preserve">supra </w:t>
      </w:r>
      <w:r w:rsidR="00015179" w:rsidRPr="005602A7">
        <w:rPr>
          <w:rFonts w:ascii="Garamond" w:hAnsi="Garamond"/>
        </w:rPr>
        <w:t xml:space="preserve">note 129. </w:t>
      </w:r>
    </w:p>
  </w:footnote>
  <w:footnote w:id="133">
    <w:p w14:paraId="0C6DD438" w14:textId="0140341D"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703CCF" w:rsidRPr="005602A7">
        <w:rPr>
          <w:rFonts w:ascii="Garamond" w:hAnsi="Garamond"/>
        </w:rPr>
        <w:t>Duke,</w:t>
      </w:r>
      <w:r w:rsidR="004E06CC" w:rsidRPr="005602A7">
        <w:rPr>
          <w:rFonts w:ascii="Garamond" w:hAnsi="Garamond"/>
        </w:rPr>
        <w:t xml:space="preserve"> </w:t>
      </w:r>
      <w:r w:rsidR="004E06CC" w:rsidRPr="005602A7">
        <w:rPr>
          <w:rFonts w:ascii="Garamond" w:hAnsi="Garamond"/>
          <w:i/>
          <w:iCs/>
          <w:lang w:val="en-US"/>
        </w:rPr>
        <w:t xml:space="preserve">Sovereignty and the Common Good, </w:t>
      </w:r>
      <w:r w:rsidR="00703CCF"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 xml:space="preserve">note 50 </w:t>
      </w:r>
      <w:r w:rsidR="00703CCF" w:rsidRPr="005602A7">
        <w:rPr>
          <w:rFonts w:ascii="Garamond" w:hAnsi="Garamond"/>
          <w:lang w:val="en-US"/>
        </w:rPr>
        <w:t>at</w:t>
      </w:r>
      <w:r w:rsidR="009E589A" w:rsidRPr="005602A7">
        <w:rPr>
          <w:rFonts w:ascii="Garamond" w:hAnsi="Garamond"/>
          <w:lang w:val="en-US"/>
        </w:rPr>
        <w:t xml:space="preserve"> </w:t>
      </w:r>
      <w:r w:rsidR="00042F98" w:rsidRPr="005602A7">
        <w:rPr>
          <w:rFonts w:ascii="Garamond" w:hAnsi="Garamond"/>
          <w:lang w:val="en-US"/>
        </w:rPr>
        <w:t>79.</w:t>
      </w:r>
    </w:p>
  </w:footnote>
  <w:footnote w:id="134">
    <w:p w14:paraId="6C732BED" w14:textId="281F953F"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015179" w:rsidRPr="005602A7">
        <w:rPr>
          <w:rFonts w:ascii="Garamond" w:hAnsi="Garamond"/>
        </w:rPr>
        <w:t>Stilz</w:t>
      </w:r>
      <w:r w:rsidR="0067431C" w:rsidRPr="005602A7">
        <w:rPr>
          <w:rFonts w:ascii="Garamond" w:hAnsi="Garamond"/>
        </w:rPr>
        <w:t xml:space="preserve">, </w:t>
      </w:r>
      <w:r w:rsidR="0067431C" w:rsidRPr="005602A7">
        <w:rPr>
          <w:rFonts w:ascii="Garamond" w:hAnsi="Garamond"/>
          <w:i/>
          <w:iCs/>
        </w:rPr>
        <w:t>The Value of Self Determination,</w:t>
      </w:r>
      <w:r w:rsidR="00015179" w:rsidRPr="005602A7">
        <w:rPr>
          <w:rFonts w:ascii="Garamond" w:hAnsi="Garamond"/>
        </w:rPr>
        <w:t xml:space="preserve"> </w:t>
      </w:r>
      <w:r w:rsidR="00015179" w:rsidRPr="005602A7">
        <w:rPr>
          <w:rFonts w:ascii="Garamond" w:hAnsi="Garamond"/>
          <w:i/>
          <w:iCs/>
        </w:rPr>
        <w:t>supra</w:t>
      </w:r>
      <w:r w:rsidR="00015179" w:rsidRPr="005602A7">
        <w:rPr>
          <w:rFonts w:ascii="Garamond" w:hAnsi="Garamond"/>
        </w:rPr>
        <w:t xml:space="preserve"> note 119 at </w:t>
      </w:r>
      <w:r w:rsidRPr="005602A7">
        <w:rPr>
          <w:rFonts w:ascii="Garamond" w:hAnsi="Garamond"/>
          <w:lang w:val="en-US"/>
        </w:rPr>
        <w:t>101</w:t>
      </w:r>
      <w:r w:rsidR="00356492" w:rsidRPr="005602A7">
        <w:rPr>
          <w:rFonts w:ascii="Garamond" w:hAnsi="Garamond"/>
          <w:lang w:val="en-US"/>
        </w:rPr>
        <w:t>;</w:t>
      </w:r>
      <w:r w:rsidRPr="005602A7">
        <w:rPr>
          <w:rFonts w:ascii="Garamond" w:hAnsi="Garamond"/>
          <w:lang w:val="en-US"/>
        </w:rPr>
        <w:t xml:space="preserve"> </w:t>
      </w:r>
      <w:r w:rsidR="008E5926" w:rsidRPr="005602A7">
        <w:rPr>
          <w:rFonts w:ascii="Garamond" w:hAnsi="Garamond"/>
          <w:lang w:val="en-US"/>
        </w:rPr>
        <w:t xml:space="preserve">Ludvig Beckman, Kristy Gover and Ulf </w:t>
      </w:r>
      <w:proofErr w:type="spellStart"/>
      <w:r w:rsidR="008E5926" w:rsidRPr="005602A7">
        <w:rPr>
          <w:rFonts w:ascii="Garamond" w:hAnsi="Garamond"/>
          <w:lang w:val="en-US"/>
        </w:rPr>
        <w:t>Morkenstam</w:t>
      </w:r>
      <w:proofErr w:type="spellEnd"/>
      <w:r w:rsidR="008E5926" w:rsidRPr="005602A7">
        <w:rPr>
          <w:rFonts w:ascii="Garamond" w:hAnsi="Garamond"/>
          <w:lang w:val="en-US"/>
        </w:rPr>
        <w:t xml:space="preserve">, </w:t>
      </w:r>
      <w:r w:rsidR="008E5926" w:rsidRPr="005602A7">
        <w:rPr>
          <w:rFonts w:ascii="Garamond" w:hAnsi="Garamond"/>
          <w:i/>
          <w:lang w:val="en-US"/>
        </w:rPr>
        <w:t>The popular sovereignty of indigenous peoples: a challenge in multi-people states</w:t>
      </w:r>
      <w:r w:rsidR="008E5926" w:rsidRPr="005602A7">
        <w:rPr>
          <w:rFonts w:ascii="Garamond" w:hAnsi="Garamond"/>
          <w:lang w:val="en-US"/>
        </w:rPr>
        <w:t xml:space="preserve">, </w:t>
      </w:r>
      <w:r w:rsidR="00A52E39" w:rsidRPr="005602A7">
        <w:rPr>
          <w:rFonts w:ascii="Garamond" w:hAnsi="Garamond"/>
          <w:lang w:val="en-US"/>
        </w:rPr>
        <w:t xml:space="preserve">26(1) </w:t>
      </w:r>
      <w:r w:rsidR="008E5926" w:rsidRPr="005602A7">
        <w:rPr>
          <w:rFonts w:ascii="Garamond" w:hAnsi="Garamond"/>
          <w:smallCaps/>
          <w:lang w:val="en-US"/>
        </w:rPr>
        <w:t>Citizenship Studies</w:t>
      </w:r>
      <w:r w:rsidR="008E5926" w:rsidRPr="005602A7">
        <w:rPr>
          <w:rFonts w:ascii="Garamond" w:hAnsi="Garamond"/>
          <w:lang w:val="en-US"/>
        </w:rPr>
        <w:t xml:space="preserve">, </w:t>
      </w:r>
      <w:r w:rsidR="00A52E39" w:rsidRPr="005602A7">
        <w:rPr>
          <w:rFonts w:ascii="Garamond" w:hAnsi="Garamond"/>
          <w:lang w:val="en-US"/>
        </w:rPr>
        <w:t>1-20</w:t>
      </w:r>
      <w:r w:rsidR="008E5926" w:rsidRPr="005602A7">
        <w:rPr>
          <w:rFonts w:ascii="Garamond" w:hAnsi="Garamond"/>
          <w:lang w:val="en-US"/>
        </w:rPr>
        <w:t xml:space="preserve"> </w:t>
      </w:r>
      <w:r w:rsidR="00A52E39" w:rsidRPr="005602A7">
        <w:rPr>
          <w:rFonts w:ascii="Garamond" w:hAnsi="Garamond"/>
          <w:lang w:val="en-US"/>
        </w:rPr>
        <w:t>(</w:t>
      </w:r>
      <w:r w:rsidR="008E5926" w:rsidRPr="005602A7">
        <w:rPr>
          <w:rFonts w:ascii="Garamond" w:hAnsi="Garamond"/>
          <w:lang w:val="en-US"/>
        </w:rPr>
        <w:t>2022</w:t>
      </w:r>
      <w:r w:rsidR="00A52E39" w:rsidRPr="005602A7">
        <w:rPr>
          <w:rFonts w:ascii="Garamond" w:hAnsi="Garamond"/>
          <w:lang w:val="en-US"/>
        </w:rPr>
        <w:t>)</w:t>
      </w:r>
      <w:r w:rsidR="005E370A" w:rsidRPr="005602A7">
        <w:rPr>
          <w:rFonts w:ascii="Garamond" w:hAnsi="Garamond"/>
          <w:lang w:val="en-US"/>
        </w:rPr>
        <w:t xml:space="preserve">. </w:t>
      </w:r>
    </w:p>
  </w:footnote>
  <w:footnote w:id="135">
    <w:p w14:paraId="19691D29" w14:textId="7D4BC7B6"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914522" w:rsidRPr="005602A7">
        <w:rPr>
          <w:rFonts w:ascii="Garamond" w:hAnsi="Garamond"/>
        </w:rPr>
        <w:t xml:space="preserve">Reisman, </w:t>
      </w:r>
      <w:r w:rsidR="00BA5177" w:rsidRPr="005602A7">
        <w:rPr>
          <w:rFonts w:ascii="Garamond" w:hAnsi="Garamond"/>
          <w:i/>
        </w:rPr>
        <w:t xml:space="preserve">Sovereignty and Human Rights in Contemporary International Law, </w:t>
      </w:r>
      <w:r w:rsidR="00703CCF" w:rsidRPr="005602A7">
        <w:rPr>
          <w:rFonts w:ascii="Garamond" w:hAnsi="Garamond"/>
          <w:i/>
        </w:rPr>
        <w:t xml:space="preserve">supra </w:t>
      </w:r>
      <w:r w:rsidR="00703CCF" w:rsidRPr="005602A7">
        <w:rPr>
          <w:rFonts w:ascii="Garamond" w:hAnsi="Garamond"/>
          <w:iCs/>
        </w:rPr>
        <w:t xml:space="preserve">note 58 at </w:t>
      </w:r>
      <w:r w:rsidR="00914522" w:rsidRPr="005602A7">
        <w:rPr>
          <w:rFonts w:ascii="Garamond" w:hAnsi="Garamond"/>
        </w:rPr>
        <w:t>866</w:t>
      </w:r>
      <w:r w:rsidR="00F05FAA" w:rsidRPr="005602A7">
        <w:rPr>
          <w:rFonts w:ascii="Garamond" w:hAnsi="Garamond"/>
        </w:rPr>
        <w:t xml:space="preserve">. </w:t>
      </w:r>
    </w:p>
  </w:footnote>
  <w:footnote w:id="136">
    <w:p w14:paraId="70905D52" w14:textId="4249643B"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620AF9" w:rsidRPr="005602A7">
        <w:rPr>
          <w:rFonts w:ascii="Garamond" w:hAnsi="Garamond"/>
          <w:smallCaps/>
        </w:rPr>
        <w:t>Luke Glanville, Sovereignty and the Responsibility to Protect: A N</w:t>
      </w:r>
      <w:r w:rsidR="0004657C" w:rsidRPr="005602A7">
        <w:rPr>
          <w:rFonts w:ascii="Garamond" w:hAnsi="Garamond"/>
          <w:smallCaps/>
        </w:rPr>
        <w:t>ew</w:t>
      </w:r>
      <w:r w:rsidR="00620AF9" w:rsidRPr="005602A7">
        <w:rPr>
          <w:rFonts w:ascii="Garamond" w:hAnsi="Garamond"/>
          <w:smallCaps/>
        </w:rPr>
        <w:t xml:space="preserve"> History,</w:t>
      </w:r>
      <w:r w:rsidR="00620AF9" w:rsidRPr="005602A7">
        <w:rPr>
          <w:rFonts w:ascii="Garamond" w:hAnsi="Garamond"/>
        </w:rPr>
        <w:t xml:space="preserve"> </w:t>
      </w:r>
      <w:r w:rsidR="004B0CCA" w:rsidRPr="005602A7">
        <w:rPr>
          <w:rFonts w:ascii="Garamond" w:hAnsi="Garamond"/>
        </w:rPr>
        <w:t xml:space="preserve">(University of Chicago Press, 2014) at </w:t>
      </w:r>
      <w:r w:rsidRPr="005602A7">
        <w:rPr>
          <w:rFonts w:ascii="Garamond" w:hAnsi="Garamond"/>
        </w:rPr>
        <w:t xml:space="preserve">p. 62; </w:t>
      </w:r>
      <w:r w:rsidRPr="005602A7">
        <w:rPr>
          <w:rFonts w:ascii="Garamond" w:hAnsi="Garamond"/>
          <w:smallCaps/>
        </w:rPr>
        <w:t>Pauline O Espejo</w:t>
      </w:r>
      <w:r w:rsidR="004B0CCA" w:rsidRPr="005602A7">
        <w:rPr>
          <w:rFonts w:ascii="Garamond" w:hAnsi="Garamond"/>
          <w:smallCaps/>
        </w:rPr>
        <w:t>, The Time of Popular Sovereignty</w:t>
      </w:r>
      <w:r w:rsidR="004B0CCA" w:rsidRPr="005602A7">
        <w:rPr>
          <w:rFonts w:ascii="Garamond" w:hAnsi="Garamond"/>
        </w:rPr>
        <w:t>, (2011)</w:t>
      </w:r>
      <w:r w:rsidRPr="005602A7">
        <w:rPr>
          <w:rFonts w:ascii="Garamond" w:hAnsi="Garamond"/>
        </w:rPr>
        <w:t xml:space="preserve"> </w:t>
      </w:r>
      <w:r w:rsidR="004B0CCA" w:rsidRPr="005602A7">
        <w:rPr>
          <w:rFonts w:ascii="Garamond" w:hAnsi="Garamond"/>
        </w:rPr>
        <w:t xml:space="preserve">at </w:t>
      </w:r>
      <w:r w:rsidRPr="005602A7">
        <w:rPr>
          <w:rFonts w:ascii="Garamond" w:hAnsi="Garamond"/>
        </w:rPr>
        <w:t>p. 3</w:t>
      </w:r>
      <w:r w:rsidR="004B0CCA" w:rsidRPr="005602A7">
        <w:rPr>
          <w:rFonts w:ascii="Garamond" w:hAnsi="Garamond"/>
        </w:rPr>
        <w:t xml:space="preserve">. </w:t>
      </w:r>
    </w:p>
  </w:footnote>
  <w:footnote w:id="137">
    <w:p w14:paraId="6D59122A" w14:textId="41CF52C6"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Pr="005602A7">
        <w:rPr>
          <w:rFonts w:ascii="Garamond" w:hAnsi="Garamond"/>
          <w:smallCaps/>
        </w:rPr>
        <w:t>Leenco</w:t>
      </w:r>
      <w:proofErr w:type="spellEnd"/>
      <w:r w:rsidRPr="005602A7">
        <w:rPr>
          <w:rFonts w:ascii="Garamond" w:hAnsi="Garamond"/>
          <w:smallCaps/>
        </w:rPr>
        <w:t xml:space="preserve"> </w:t>
      </w:r>
      <w:r w:rsidR="004B0CCA" w:rsidRPr="005602A7">
        <w:rPr>
          <w:rFonts w:ascii="Garamond" w:hAnsi="Garamond"/>
          <w:smallCaps/>
        </w:rPr>
        <w:t>Lata, The Horn of Africa as Common Homeland: The State and Self-Determination in the Era of Heightened Globalization,</w:t>
      </w:r>
      <w:r w:rsidR="004B0CCA" w:rsidRPr="005602A7">
        <w:rPr>
          <w:rFonts w:ascii="Garamond" w:hAnsi="Garamond"/>
        </w:rPr>
        <w:t xml:space="preserve"> at </w:t>
      </w:r>
      <w:r w:rsidRPr="005602A7">
        <w:rPr>
          <w:rFonts w:ascii="Garamond" w:hAnsi="Garamond"/>
        </w:rPr>
        <w:t xml:space="preserve">17; </w:t>
      </w:r>
      <w:r w:rsidRPr="005602A7">
        <w:rPr>
          <w:rFonts w:ascii="Garamond" w:hAnsi="Garamond" w:cs="Times New Roman"/>
          <w:lang w:val="en-US"/>
        </w:rPr>
        <w:t xml:space="preserve">Roth, </w:t>
      </w:r>
      <w:r w:rsidRPr="005602A7">
        <w:rPr>
          <w:rFonts w:ascii="Garamond" w:hAnsi="Garamond" w:cs="Times New Roman"/>
          <w:i/>
          <w:iCs/>
          <w:lang w:val="en-US"/>
        </w:rPr>
        <w:t>Secessions, Coups and the International Rule of Law: Assessing the Decline of the Effective Control Doctrine’</w:t>
      </w:r>
      <w:r w:rsidR="00155354" w:rsidRPr="005602A7">
        <w:rPr>
          <w:rFonts w:ascii="Garamond" w:hAnsi="Garamond" w:cs="Times New Roman"/>
          <w:lang w:val="en-US"/>
        </w:rPr>
        <w:t xml:space="preserve"> </w:t>
      </w:r>
      <w:r w:rsidR="004B0CCA" w:rsidRPr="005602A7">
        <w:rPr>
          <w:rFonts w:ascii="Garamond" w:hAnsi="Garamond"/>
        </w:rPr>
        <w:t xml:space="preserve">11 </w:t>
      </w:r>
      <w:proofErr w:type="spellStart"/>
      <w:r w:rsidR="004B0CCA" w:rsidRPr="005602A7">
        <w:rPr>
          <w:rFonts w:ascii="Garamond" w:hAnsi="Garamond"/>
        </w:rPr>
        <w:t>Melb</w:t>
      </w:r>
      <w:proofErr w:type="spellEnd"/>
      <w:r w:rsidR="004B0CCA" w:rsidRPr="005602A7">
        <w:rPr>
          <w:rFonts w:ascii="Garamond" w:hAnsi="Garamond"/>
        </w:rPr>
        <w:t xml:space="preserve">. J. Int'l. L. 393 (2010) at </w:t>
      </w:r>
      <w:r w:rsidRPr="005602A7">
        <w:rPr>
          <w:rFonts w:ascii="Garamond" w:hAnsi="Garamond" w:cs="Times New Roman"/>
          <w:lang w:val="en-US"/>
        </w:rPr>
        <w:t>p. 423</w:t>
      </w:r>
      <w:r w:rsidR="004B0CCA" w:rsidRPr="005602A7">
        <w:rPr>
          <w:rFonts w:ascii="Garamond" w:hAnsi="Garamond" w:cs="Times New Roman"/>
          <w:lang w:val="en-US"/>
        </w:rPr>
        <w:t xml:space="preserve">; Father Robert Araujo, Sovereignty, </w:t>
      </w:r>
      <w:r w:rsidR="004B0CCA" w:rsidRPr="005602A7">
        <w:rPr>
          <w:rFonts w:ascii="Garamond" w:hAnsi="Garamond" w:cs="Times New Roman"/>
          <w:i/>
          <w:iCs/>
          <w:lang w:val="en-US"/>
        </w:rPr>
        <w:t>Human Rights and Self-determination: The Meaning of International Law,</w:t>
      </w:r>
      <w:r w:rsidR="004B0CCA" w:rsidRPr="005602A7">
        <w:rPr>
          <w:rFonts w:ascii="Garamond" w:hAnsi="Garamond" w:cs="Times New Roman"/>
          <w:lang w:val="en-US"/>
        </w:rPr>
        <w:t xml:space="preserve"> </w:t>
      </w:r>
      <w:r w:rsidR="004B0CCA" w:rsidRPr="005602A7">
        <w:rPr>
          <w:rFonts w:ascii="Garamond" w:hAnsi="Garamond" w:cs="Arial"/>
          <w:shd w:val="clear" w:color="auto" w:fill="FFFFFF"/>
        </w:rPr>
        <w:t>24 F</w:t>
      </w:r>
      <w:r w:rsidR="004B0CCA" w:rsidRPr="005602A7">
        <w:rPr>
          <w:rStyle w:val="smallcaps"/>
          <w:rFonts w:ascii="Garamond" w:hAnsi="Garamond" w:cs="Arial"/>
          <w:smallCaps/>
          <w:bdr w:val="none" w:sz="0" w:space="0" w:color="auto" w:frame="1"/>
          <w:shd w:val="clear" w:color="auto" w:fill="FFFFFF"/>
        </w:rPr>
        <w:t>ordham</w:t>
      </w:r>
      <w:r w:rsidR="004B0CCA" w:rsidRPr="005602A7">
        <w:rPr>
          <w:rFonts w:ascii="Garamond" w:hAnsi="Garamond" w:cs="Arial"/>
          <w:shd w:val="clear" w:color="auto" w:fill="FFFFFF"/>
        </w:rPr>
        <w:t> I</w:t>
      </w:r>
      <w:r w:rsidR="004B0CCA" w:rsidRPr="005602A7">
        <w:rPr>
          <w:rStyle w:val="smallcaps"/>
          <w:rFonts w:ascii="Garamond" w:hAnsi="Garamond" w:cs="Arial"/>
          <w:smallCaps/>
          <w:bdr w:val="none" w:sz="0" w:space="0" w:color="auto" w:frame="1"/>
          <w:shd w:val="clear" w:color="auto" w:fill="FFFFFF"/>
        </w:rPr>
        <w:t>nt'l</w:t>
      </w:r>
      <w:r w:rsidR="004B0CCA" w:rsidRPr="005602A7">
        <w:rPr>
          <w:rFonts w:ascii="Garamond" w:hAnsi="Garamond" w:cs="Arial"/>
          <w:shd w:val="clear" w:color="auto" w:fill="FFFFFF"/>
        </w:rPr>
        <w:t> L.J. 1477 (2000).</w:t>
      </w:r>
    </w:p>
  </w:footnote>
  <w:footnote w:id="138">
    <w:p w14:paraId="0D1ACD5F" w14:textId="3E498B62"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03CCF" w:rsidRPr="005602A7">
        <w:rPr>
          <w:rFonts w:ascii="Garamond" w:hAnsi="Garamond"/>
        </w:rPr>
        <w:t>Reisman,</w:t>
      </w:r>
      <w:r w:rsidR="00BA5177" w:rsidRPr="005602A7">
        <w:rPr>
          <w:rFonts w:ascii="Garamond" w:hAnsi="Garamond"/>
        </w:rPr>
        <w:t xml:space="preserve"> </w:t>
      </w:r>
      <w:r w:rsidR="00BA5177" w:rsidRPr="005602A7">
        <w:rPr>
          <w:rFonts w:ascii="Garamond" w:hAnsi="Garamond"/>
          <w:i/>
        </w:rPr>
        <w:t>Sovereignty and Human Rights in Contemporary International Law</w:t>
      </w:r>
      <w:r w:rsidR="00703CCF" w:rsidRPr="005602A7">
        <w:rPr>
          <w:rFonts w:ascii="Garamond" w:hAnsi="Garamond"/>
        </w:rPr>
        <w:t xml:space="preserve"> </w:t>
      </w:r>
      <w:r w:rsidR="00703CCF" w:rsidRPr="005602A7">
        <w:rPr>
          <w:rFonts w:ascii="Garamond" w:hAnsi="Garamond"/>
          <w:i/>
        </w:rPr>
        <w:t xml:space="preserve">supra </w:t>
      </w:r>
      <w:r w:rsidR="00703CCF" w:rsidRPr="005602A7">
        <w:rPr>
          <w:rFonts w:ascii="Garamond" w:hAnsi="Garamond"/>
          <w:iCs/>
        </w:rPr>
        <w:t xml:space="preserve">note 58 at </w:t>
      </w:r>
      <w:r w:rsidR="00914522" w:rsidRPr="005602A7">
        <w:rPr>
          <w:rFonts w:ascii="Garamond" w:hAnsi="Garamond"/>
        </w:rPr>
        <w:t>866</w:t>
      </w:r>
      <w:r w:rsidR="00703CCF" w:rsidRPr="005602A7">
        <w:rPr>
          <w:rFonts w:ascii="Garamond" w:hAnsi="Garamond"/>
        </w:rPr>
        <w:t xml:space="preserve">. </w:t>
      </w:r>
    </w:p>
  </w:footnote>
  <w:footnote w:id="139">
    <w:p w14:paraId="58456F94" w14:textId="58CE7F2E"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004B0CCA" w:rsidRPr="005602A7">
        <w:rPr>
          <w:rFonts w:ascii="Garamond" w:hAnsi="Garamond"/>
        </w:rPr>
        <w:t xml:space="preserve"> Elizabeth A. Wilson, </w:t>
      </w:r>
      <w:r w:rsidR="004B0CCA" w:rsidRPr="005602A7">
        <w:rPr>
          <w:rFonts w:ascii="Garamond" w:hAnsi="Garamond"/>
          <w:i/>
          <w:iCs/>
        </w:rPr>
        <w:t>“People Power” and the Problem of Sovereignty in International Law,</w:t>
      </w:r>
      <w:r w:rsidR="004B0CCA" w:rsidRPr="005602A7">
        <w:rPr>
          <w:rFonts w:ascii="Garamond" w:hAnsi="Garamond"/>
        </w:rPr>
        <w:t xml:space="preserve"> </w:t>
      </w:r>
      <w:r w:rsidR="00155354" w:rsidRPr="005602A7">
        <w:rPr>
          <w:rFonts w:ascii="Garamond" w:hAnsi="Garamond"/>
        </w:rPr>
        <w:t xml:space="preserve">26 </w:t>
      </w:r>
      <w:r w:rsidR="00D576D2" w:rsidRPr="005602A7">
        <w:rPr>
          <w:rFonts w:ascii="Garamond" w:hAnsi="Garamond"/>
          <w:smallCaps/>
        </w:rPr>
        <w:t>Duke Journal of International and Comparative Law</w:t>
      </w:r>
      <w:r w:rsidR="00D576D2" w:rsidRPr="005602A7">
        <w:rPr>
          <w:rFonts w:ascii="Garamond" w:hAnsi="Garamond"/>
        </w:rPr>
        <w:t>, 551,</w:t>
      </w:r>
      <w:r w:rsidRPr="005602A7">
        <w:rPr>
          <w:rFonts w:ascii="Garamond" w:hAnsi="Garamond"/>
        </w:rPr>
        <w:t xml:space="preserve"> 568-570. </w:t>
      </w:r>
    </w:p>
  </w:footnote>
  <w:footnote w:id="140">
    <w:p w14:paraId="7AD67833" w14:textId="2FFF85B3"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D576D2" w:rsidRPr="005602A7">
        <w:rPr>
          <w:rFonts w:ascii="Garamond" w:hAnsi="Garamond"/>
          <w:lang w:val="en-US"/>
        </w:rPr>
        <w:t xml:space="preserve">Brad R Roth, </w:t>
      </w:r>
      <w:r w:rsidR="00D576D2" w:rsidRPr="005602A7">
        <w:rPr>
          <w:rFonts w:ascii="Garamond" w:hAnsi="Garamond"/>
          <w:i/>
          <w:iCs/>
          <w:lang w:val="en-US"/>
        </w:rPr>
        <w:t>Popular Sovereignty: The Elusive Norm,</w:t>
      </w:r>
      <w:r w:rsidR="00D576D2" w:rsidRPr="005602A7">
        <w:rPr>
          <w:rFonts w:ascii="Garamond" w:hAnsi="Garamond"/>
          <w:lang w:val="en-US"/>
        </w:rPr>
        <w:t xml:space="preserve"> </w:t>
      </w:r>
      <w:r w:rsidR="00D576D2" w:rsidRPr="005602A7">
        <w:rPr>
          <w:rFonts w:ascii="Garamond" w:hAnsi="Garamond"/>
          <w:smallCaps/>
        </w:rPr>
        <w:t>Proceedings of the Annual Meeting (American Society of International Law</w:t>
      </w:r>
      <w:proofErr w:type="gramStart"/>
      <w:r w:rsidR="00D576D2" w:rsidRPr="005602A7">
        <w:rPr>
          <w:rFonts w:ascii="Garamond" w:hAnsi="Garamond"/>
          <w:smallCaps/>
        </w:rPr>
        <w:t>) ,</w:t>
      </w:r>
      <w:proofErr w:type="gramEnd"/>
      <w:r w:rsidR="00D576D2" w:rsidRPr="005602A7">
        <w:rPr>
          <w:rFonts w:ascii="Garamond" w:hAnsi="Garamond"/>
          <w:smallCaps/>
        </w:rPr>
        <w:t xml:space="preserve"> APRIL 9-12, 1997, Vol. 91,</w:t>
      </w:r>
      <w:r w:rsidR="00D576D2" w:rsidRPr="005602A7">
        <w:rPr>
          <w:rFonts w:ascii="Garamond" w:hAnsi="Garamond"/>
        </w:rPr>
        <w:t xml:space="preserve"> </w:t>
      </w:r>
      <w:r w:rsidR="00D576D2" w:rsidRPr="005602A7">
        <w:rPr>
          <w:rFonts w:ascii="Garamond" w:hAnsi="Garamond"/>
          <w:smallCaps/>
        </w:rPr>
        <w:t>Implementation, Compliance and Effectiveness</w:t>
      </w:r>
      <w:r w:rsidR="00D576D2" w:rsidRPr="005602A7">
        <w:rPr>
          <w:rFonts w:ascii="Garamond" w:hAnsi="Garamond"/>
        </w:rPr>
        <w:t xml:space="preserve"> (APRIL 9-12, 1997), 363</w:t>
      </w:r>
      <w:r w:rsidR="00397F6C" w:rsidRPr="005602A7">
        <w:rPr>
          <w:rFonts w:ascii="Garamond" w:hAnsi="Garamond"/>
        </w:rPr>
        <w:t xml:space="preserve">, </w:t>
      </w:r>
      <w:r w:rsidR="00D576D2" w:rsidRPr="005602A7">
        <w:rPr>
          <w:rFonts w:ascii="Garamond" w:hAnsi="Garamond"/>
          <w:lang w:val="en-US"/>
        </w:rPr>
        <w:t>365</w:t>
      </w:r>
      <w:r w:rsidR="00397F6C" w:rsidRPr="005602A7">
        <w:rPr>
          <w:rFonts w:ascii="Garamond" w:hAnsi="Garamond"/>
          <w:lang w:val="en-US"/>
        </w:rPr>
        <w:t>.</w:t>
      </w:r>
    </w:p>
  </w:footnote>
  <w:footnote w:id="141">
    <w:p w14:paraId="10CE2AE6" w14:textId="44553146"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Article 21(3) UDHR;</w:t>
      </w:r>
      <w:r w:rsidR="00D576D2" w:rsidRPr="005602A7">
        <w:rPr>
          <w:rFonts w:ascii="Garamond" w:hAnsi="Garamond"/>
          <w:lang w:val="en-US"/>
        </w:rPr>
        <w:t xml:space="preserve"> Roth</w:t>
      </w:r>
      <w:r w:rsidR="007B0360" w:rsidRPr="005602A7">
        <w:rPr>
          <w:rFonts w:ascii="Garamond" w:hAnsi="Garamond"/>
          <w:lang w:val="en-US"/>
        </w:rPr>
        <w:t>,</w:t>
      </w:r>
      <w:r w:rsidR="00D576D2" w:rsidRPr="005602A7">
        <w:rPr>
          <w:rFonts w:ascii="Garamond" w:hAnsi="Garamond"/>
          <w:lang w:val="en-US"/>
        </w:rPr>
        <w:t xml:space="preserve"> </w:t>
      </w:r>
      <w:r w:rsidR="005B1517" w:rsidRPr="005602A7">
        <w:rPr>
          <w:rFonts w:ascii="Garamond" w:hAnsi="Garamond"/>
          <w:i/>
          <w:iCs/>
          <w:lang w:val="en-US"/>
        </w:rPr>
        <w:t xml:space="preserve">Popular Sovereignty, </w:t>
      </w:r>
      <w:r w:rsidR="007B0360" w:rsidRPr="005602A7">
        <w:rPr>
          <w:rFonts w:ascii="Garamond" w:hAnsi="Garamond"/>
          <w:i/>
          <w:iCs/>
          <w:lang w:val="en-US"/>
        </w:rPr>
        <w:t>supra</w:t>
      </w:r>
      <w:r w:rsidR="007B0360" w:rsidRPr="005602A7">
        <w:rPr>
          <w:rFonts w:ascii="Garamond" w:hAnsi="Garamond"/>
          <w:lang w:val="en-US"/>
        </w:rPr>
        <w:t xml:space="preserve"> note 139</w:t>
      </w:r>
      <w:r w:rsidR="00D576D2" w:rsidRPr="005602A7">
        <w:rPr>
          <w:rFonts w:ascii="Garamond" w:hAnsi="Garamond"/>
          <w:lang w:val="en-US"/>
        </w:rPr>
        <w:t xml:space="preserve">; </w:t>
      </w:r>
      <w:r w:rsidR="00CD5ABC" w:rsidRPr="005602A7">
        <w:rPr>
          <w:rFonts w:ascii="Garamond" w:hAnsi="Garamond"/>
          <w:lang w:val="en-US"/>
        </w:rPr>
        <w:t xml:space="preserve">Matthew Saul, </w:t>
      </w:r>
      <w:r w:rsidR="00CD5ABC" w:rsidRPr="005602A7">
        <w:rPr>
          <w:rFonts w:ascii="Garamond" w:hAnsi="Garamond"/>
          <w:i/>
          <w:iCs/>
          <w:lang w:val="en-US"/>
        </w:rPr>
        <w:t>The Normative Status of Self-determination in International Law: A Formula for Uncertainty in the Scope and Content of the Right?</w:t>
      </w:r>
      <w:r w:rsidR="00CD5ABC" w:rsidRPr="005602A7">
        <w:rPr>
          <w:rFonts w:ascii="Garamond" w:hAnsi="Garamond"/>
        </w:rPr>
        <w:t xml:space="preserve"> </w:t>
      </w:r>
      <w:r w:rsidR="00397F6C" w:rsidRPr="005602A7">
        <w:rPr>
          <w:rFonts w:ascii="Garamond" w:hAnsi="Garamond"/>
        </w:rPr>
        <w:t xml:space="preserve">11 </w:t>
      </w:r>
      <w:r w:rsidR="00CD5ABC" w:rsidRPr="005602A7">
        <w:rPr>
          <w:rFonts w:ascii="Garamond" w:hAnsi="Garamond"/>
        </w:rPr>
        <w:t>HRLR</w:t>
      </w:r>
      <w:r w:rsidR="00397F6C" w:rsidRPr="005602A7">
        <w:rPr>
          <w:rFonts w:ascii="Garamond" w:hAnsi="Garamond"/>
        </w:rPr>
        <w:t xml:space="preserve"> </w:t>
      </w:r>
      <w:r w:rsidR="00CD5ABC" w:rsidRPr="005602A7">
        <w:rPr>
          <w:rFonts w:ascii="Garamond" w:hAnsi="Garamond"/>
        </w:rPr>
        <w:t>609</w:t>
      </w:r>
      <w:r w:rsidR="00397F6C" w:rsidRPr="005602A7">
        <w:rPr>
          <w:rFonts w:ascii="Garamond" w:hAnsi="Garamond"/>
        </w:rPr>
        <w:t xml:space="preserve">, </w:t>
      </w:r>
      <w:r w:rsidR="00CD5ABC" w:rsidRPr="005602A7">
        <w:rPr>
          <w:rFonts w:ascii="Garamond" w:hAnsi="Garamond"/>
        </w:rPr>
        <w:t>644</w:t>
      </w:r>
      <w:r w:rsidR="00397F6C" w:rsidRPr="005602A7">
        <w:rPr>
          <w:rFonts w:ascii="Garamond" w:hAnsi="Garamond"/>
        </w:rPr>
        <w:t xml:space="preserve"> (2011)</w:t>
      </w:r>
      <w:r w:rsidR="00CD5ABC" w:rsidRPr="005602A7">
        <w:rPr>
          <w:rFonts w:ascii="Garamond" w:hAnsi="Garamond"/>
        </w:rPr>
        <w:t>.</w:t>
      </w:r>
    </w:p>
  </w:footnote>
  <w:footnote w:id="142">
    <w:p w14:paraId="3BA9B897" w14:textId="62DD2C21"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Anne peters argues that external sovereignty has been humanized, such that its legitimacy depends on the state fulfilling its functions vis a vis </w:t>
      </w:r>
      <w:proofErr w:type="gramStart"/>
      <w:r w:rsidRPr="005602A7">
        <w:rPr>
          <w:rFonts w:ascii="Garamond" w:hAnsi="Garamond"/>
          <w:lang w:val="en-US"/>
        </w:rPr>
        <w:t>human rights</w:t>
      </w:r>
      <w:proofErr w:type="gramEnd"/>
      <w:r w:rsidRPr="005602A7">
        <w:rPr>
          <w:rFonts w:ascii="Garamond" w:hAnsi="Garamond"/>
          <w:lang w:val="en-US"/>
        </w:rPr>
        <w:t xml:space="preserve"> etc. </w:t>
      </w:r>
      <w:r w:rsidR="00E87FDF" w:rsidRPr="005602A7">
        <w:rPr>
          <w:rFonts w:ascii="Garamond" w:hAnsi="Garamond"/>
        </w:rPr>
        <w:t xml:space="preserve">Peters, </w:t>
      </w:r>
      <w:r w:rsidR="005B1517" w:rsidRPr="005602A7">
        <w:rPr>
          <w:rFonts w:ascii="Garamond" w:hAnsi="Garamond"/>
          <w:i/>
          <w:iCs/>
        </w:rPr>
        <w:t xml:space="preserve">Humanity as the Alpha and Omega of Sovereignty, </w:t>
      </w:r>
      <w:r w:rsidR="00E87FDF" w:rsidRPr="005602A7">
        <w:rPr>
          <w:rFonts w:ascii="Garamond" w:hAnsi="Garamond"/>
          <w:i/>
          <w:iCs/>
        </w:rPr>
        <w:t>supra</w:t>
      </w:r>
      <w:r w:rsidR="00E87FDF" w:rsidRPr="005602A7">
        <w:rPr>
          <w:rFonts w:ascii="Garamond" w:hAnsi="Garamond"/>
        </w:rPr>
        <w:t xml:space="preserve"> note 41 </w:t>
      </w:r>
      <w:r w:rsidR="006B71D5" w:rsidRPr="005602A7">
        <w:rPr>
          <w:rFonts w:ascii="Garamond" w:hAnsi="Garamond"/>
        </w:rPr>
        <w:t xml:space="preserve">at </w:t>
      </w:r>
      <w:r w:rsidRPr="005602A7">
        <w:rPr>
          <w:rFonts w:ascii="Garamond" w:hAnsi="Garamond"/>
          <w:lang w:val="en-US"/>
        </w:rPr>
        <w:t xml:space="preserve">521-522. </w:t>
      </w:r>
    </w:p>
  </w:footnote>
  <w:footnote w:id="143">
    <w:p w14:paraId="791B5CE2" w14:textId="3FB19E5E"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smallCaps/>
        </w:rPr>
        <w:t xml:space="preserve">Chiara </w:t>
      </w:r>
      <w:r w:rsidR="0023163B" w:rsidRPr="005602A7">
        <w:rPr>
          <w:rFonts w:ascii="Garamond" w:hAnsi="Garamond"/>
          <w:smallCaps/>
        </w:rPr>
        <w:t>Redaelli, Intervention in Civil Wars: Effectiveness, Legitimacy and Human Rights,</w:t>
      </w:r>
      <w:r w:rsidRPr="005602A7">
        <w:rPr>
          <w:rFonts w:ascii="Garamond" w:hAnsi="Garamond"/>
        </w:rPr>
        <w:t xml:space="preserve"> </w:t>
      </w:r>
      <w:r w:rsidR="0023163B" w:rsidRPr="005602A7">
        <w:rPr>
          <w:rFonts w:ascii="Garamond" w:hAnsi="Garamond"/>
        </w:rPr>
        <w:t xml:space="preserve">(Hart Publishing, 2021) at </w:t>
      </w:r>
      <w:r w:rsidRPr="005602A7">
        <w:rPr>
          <w:rFonts w:ascii="Garamond" w:hAnsi="Garamond"/>
        </w:rPr>
        <w:t>259</w:t>
      </w:r>
      <w:r w:rsidR="0023163B" w:rsidRPr="005602A7">
        <w:rPr>
          <w:rFonts w:ascii="Garamond" w:hAnsi="Garamond"/>
        </w:rPr>
        <w:t>.</w:t>
      </w:r>
    </w:p>
  </w:footnote>
  <w:footnote w:id="144">
    <w:p w14:paraId="29C736C0" w14:textId="185F0830"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proofErr w:type="spellStart"/>
      <w:r w:rsidR="004E06CC" w:rsidRPr="005602A7">
        <w:rPr>
          <w:rFonts w:ascii="Garamond" w:hAnsi="Garamond"/>
        </w:rPr>
        <w:t>Dyzenhaus</w:t>
      </w:r>
      <w:proofErr w:type="spellEnd"/>
      <w:r w:rsidR="004E06CC" w:rsidRPr="005602A7">
        <w:rPr>
          <w:rFonts w:ascii="Garamond" w:hAnsi="Garamond"/>
        </w:rPr>
        <w:t xml:space="preserve">, </w:t>
      </w:r>
      <w:r w:rsidR="004E06CC" w:rsidRPr="005602A7">
        <w:rPr>
          <w:rFonts w:ascii="Garamond" w:hAnsi="Garamond"/>
          <w:i/>
          <w:iCs/>
        </w:rPr>
        <w:t xml:space="preserve">Kelsen, Heller and Schmitt, </w:t>
      </w:r>
      <w:r w:rsidR="00703CCF" w:rsidRPr="005602A7">
        <w:rPr>
          <w:rFonts w:ascii="Garamond" w:hAnsi="Garamond"/>
          <w:i/>
          <w:iCs/>
        </w:rPr>
        <w:t xml:space="preserve">supra </w:t>
      </w:r>
      <w:r w:rsidR="00703CCF" w:rsidRPr="005602A7">
        <w:rPr>
          <w:rFonts w:ascii="Garamond" w:hAnsi="Garamond"/>
        </w:rPr>
        <w:t>note 52 at</w:t>
      </w:r>
      <w:r w:rsidR="009A39CB" w:rsidRPr="005602A7">
        <w:rPr>
          <w:rFonts w:ascii="Garamond" w:hAnsi="Garamond"/>
          <w:lang w:val="en-US"/>
        </w:rPr>
        <w:t xml:space="preserve"> </w:t>
      </w:r>
      <w:r w:rsidRPr="005602A7">
        <w:rPr>
          <w:rFonts w:ascii="Garamond" w:hAnsi="Garamond"/>
          <w:lang w:val="en-US"/>
        </w:rPr>
        <w:t>338</w:t>
      </w:r>
      <w:r w:rsidR="009A39CB" w:rsidRPr="005602A7">
        <w:rPr>
          <w:rFonts w:ascii="Garamond" w:hAnsi="Garamond"/>
          <w:lang w:val="en-US"/>
        </w:rPr>
        <w:t>.</w:t>
      </w:r>
    </w:p>
  </w:footnote>
  <w:footnote w:id="145">
    <w:p w14:paraId="5A8C25E9" w14:textId="160C6496"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CD5ABC" w:rsidRPr="005602A7">
        <w:rPr>
          <w:rFonts w:ascii="Garamond" w:hAnsi="Garamond"/>
        </w:rPr>
        <w:t xml:space="preserve">Robert </w:t>
      </w:r>
      <w:r w:rsidRPr="005602A7">
        <w:rPr>
          <w:rFonts w:ascii="Garamond" w:hAnsi="Garamond"/>
        </w:rPr>
        <w:t>Randle</w:t>
      </w:r>
      <w:r w:rsidR="00CD5ABC" w:rsidRPr="005602A7">
        <w:rPr>
          <w:rFonts w:ascii="Garamond" w:hAnsi="Garamond"/>
        </w:rPr>
        <w:t xml:space="preserve">, </w:t>
      </w:r>
      <w:r w:rsidR="00CD5ABC" w:rsidRPr="005602A7">
        <w:rPr>
          <w:rFonts w:ascii="Garamond" w:hAnsi="Garamond"/>
          <w:i/>
          <w:iCs/>
        </w:rPr>
        <w:t>National Self-determination to National Self-development,</w:t>
      </w:r>
      <w:r w:rsidR="00CD5ABC" w:rsidRPr="005602A7">
        <w:rPr>
          <w:rFonts w:ascii="Garamond" w:hAnsi="Garamond"/>
        </w:rPr>
        <w:t xml:space="preserve"> </w:t>
      </w:r>
      <w:r w:rsidR="00C71052" w:rsidRPr="005602A7">
        <w:rPr>
          <w:rFonts w:ascii="Garamond" w:hAnsi="Garamond"/>
        </w:rPr>
        <w:t xml:space="preserve">31(1) </w:t>
      </w:r>
      <w:r w:rsidR="00CD5ABC" w:rsidRPr="005602A7">
        <w:rPr>
          <w:rFonts w:ascii="Garamond" w:hAnsi="Garamond"/>
          <w:smallCaps/>
        </w:rPr>
        <w:t>Journal of the History of Ideas,</w:t>
      </w:r>
      <w:r w:rsidR="00CD5ABC" w:rsidRPr="005602A7">
        <w:rPr>
          <w:rFonts w:ascii="Garamond" w:hAnsi="Garamond"/>
        </w:rPr>
        <w:t xml:space="preserve"> Jan-Mar 1970, 49-68. </w:t>
      </w:r>
      <w:r w:rsidRPr="005602A7">
        <w:rPr>
          <w:rFonts w:ascii="Garamond" w:hAnsi="Garamond"/>
        </w:rPr>
        <w:t xml:space="preserve"> </w:t>
      </w:r>
    </w:p>
  </w:footnote>
  <w:footnote w:id="146">
    <w:p w14:paraId="4D974465" w14:textId="7428F8C9"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E87FDF" w:rsidRPr="005602A7">
        <w:rPr>
          <w:rFonts w:ascii="Garamond" w:hAnsi="Garamond"/>
        </w:rPr>
        <w:t xml:space="preserve">Peters, </w:t>
      </w:r>
      <w:r w:rsidR="005B1517" w:rsidRPr="005602A7">
        <w:rPr>
          <w:rFonts w:ascii="Garamond" w:hAnsi="Garamond"/>
          <w:i/>
          <w:iCs/>
        </w:rPr>
        <w:t xml:space="preserve">Humanity as the Alpha and Omega of Sovereignty, </w:t>
      </w:r>
      <w:r w:rsidR="00E87FDF" w:rsidRPr="005602A7">
        <w:rPr>
          <w:rFonts w:ascii="Garamond" w:hAnsi="Garamond"/>
          <w:i/>
          <w:iCs/>
        </w:rPr>
        <w:t xml:space="preserve">supra </w:t>
      </w:r>
      <w:r w:rsidR="00E87FDF" w:rsidRPr="005602A7">
        <w:rPr>
          <w:rFonts w:ascii="Garamond" w:hAnsi="Garamond"/>
        </w:rPr>
        <w:t>note 41 at</w:t>
      </w:r>
      <w:r w:rsidR="006B71D5" w:rsidRPr="005602A7">
        <w:rPr>
          <w:rFonts w:ascii="Garamond" w:hAnsi="Garamond"/>
        </w:rPr>
        <w:t xml:space="preserve"> </w:t>
      </w:r>
      <w:r w:rsidRPr="005602A7">
        <w:rPr>
          <w:rFonts w:ascii="Garamond" w:hAnsi="Garamond"/>
        </w:rPr>
        <w:t>541</w:t>
      </w:r>
      <w:r w:rsidR="00BD3F44" w:rsidRPr="005602A7">
        <w:rPr>
          <w:rFonts w:ascii="Garamond" w:hAnsi="Garamond"/>
        </w:rPr>
        <w:t>.</w:t>
      </w:r>
    </w:p>
  </w:footnote>
  <w:footnote w:id="147">
    <w:p w14:paraId="3F27ADFC" w14:textId="45900DED"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03CCF" w:rsidRPr="005602A7">
        <w:rPr>
          <w:rFonts w:ascii="Garamond" w:hAnsi="Garamond"/>
        </w:rPr>
        <w:t xml:space="preserve">Endicott, </w:t>
      </w:r>
      <w:r w:rsidR="00BA5177" w:rsidRPr="005602A7">
        <w:rPr>
          <w:rFonts w:ascii="Garamond" w:hAnsi="Garamond"/>
          <w:i/>
          <w:iCs/>
        </w:rPr>
        <w:t>The Logic of Freedom and Power,</w:t>
      </w:r>
      <w:r w:rsidR="00BA5177"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note 55 at</w:t>
      </w:r>
      <w:r w:rsidR="002E53B8" w:rsidRPr="005602A7">
        <w:rPr>
          <w:rFonts w:ascii="Garamond" w:hAnsi="Garamond"/>
        </w:rPr>
        <w:t xml:space="preserve"> </w:t>
      </w:r>
      <w:r w:rsidRPr="005602A7">
        <w:rPr>
          <w:rFonts w:ascii="Garamond" w:hAnsi="Garamond"/>
        </w:rPr>
        <w:t>255-257</w:t>
      </w:r>
      <w:r w:rsidR="007740BB" w:rsidRPr="005602A7">
        <w:rPr>
          <w:rFonts w:ascii="Garamond" w:hAnsi="Garamond"/>
        </w:rPr>
        <w:t>.</w:t>
      </w:r>
    </w:p>
  </w:footnote>
  <w:footnote w:id="148">
    <w:p w14:paraId="704A6779" w14:textId="427327DF"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03CCF" w:rsidRPr="005602A7">
        <w:rPr>
          <w:rFonts w:ascii="Garamond" w:hAnsi="Garamond"/>
        </w:rPr>
        <w:t xml:space="preserve">Endicott, </w:t>
      </w:r>
      <w:r w:rsidR="00BA5177" w:rsidRPr="005602A7">
        <w:rPr>
          <w:rFonts w:ascii="Garamond" w:hAnsi="Garamond"/>
          <w:i/>
          <w:iCs/>
        </w:rPr>
        <w:t>The Logic of Freedom and Power,</w:t>
      </w:r>
      <w:r w:rsidR="00BA5177" w:rsidRPr="005602A7">
        <w:rPr>
          <w:rFonts w:ascii="Garamond" w:hAnsi="Garamond"/>
        </w:rPr>
        <w:t xml:space="preserve"> </w:t>
      </w:r>
      <w:r w:rsidR="00703CCF" w:rsidRPr="005602A7">
        <w:rPr>
          <w:rFonts w:ascii="Garamond" w:hAnsi="Garamond"/>
          <w:i/>
          <w:iCs/>
        </w:rPr>
        <w:t xml:space="preserve">supra </w:t>
      </w:r>
      <w:r w:rsidR="00703CCF" w:rsidRPr="005602A7">
        <w:rPr>
          <w:rFonts w:ascii="Garamond" w:hAnsi="Garamond"/>
        </w:rPr>
        <w:t>note 55 at</w:t>
      </w:r>
      <w:r w:rsidR="002E53B8" w:rsidRPr="005602A7">
        <w:rPr>
          <w:rFonts w:ascii="Garamond" w:hAnsi="Garamond"/>
        </w:rPr>
        <w:t xml:space="preserve"> 255</w:t>
      </w:r>
      <w:r w:rsidR="007740BB" w:rsidRPr="005602A7">
        <w:rPr>
          <w:rFonts w:ascii="Garamond" w:hAnsi="Garamond"/>
        </w:rPr>
        <w:t>.</w:t>
      </w:r>
    </w:p>
  </w:footnote>
  <w:footnote w:id="149">
    <w:p w14:paraId="71707F5F" w14:textId="1C154907"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Gerald </w:t>
      </w:r>
      <w:r w:rsidR="00986771" w:rsidRPr="005602A7">
        <w:rPr>
          <w:rFonts w:ascii="Garamond" w:hAnsi="Garamond"/>
          <w:lang w:val="en-US"/>
        </w:rPr>
        <w:t>L Neuman</w:t>
      </w:r>
      <w:r w:rsidRPr="005602A7">
        <w:rPr>
          <w:rFonts w:ascii="Garamond" w:hAnsi="Garamond"/>
          <w:i/>
          <w:iCs/>
          <w:lang w:val="en-US"/>
        </w:rPr>
        <w:t xml:space="preserve">, </w:t>
      </w:r>
      <w:r w:rsidR="00986771" w:rsidRPr="005602A7">
        <w:rPr>
          <w:rFonts w:ascii="Garamond" w:hAnsi="Garamond"/>
          <w:i/>
          <w:iCs/>
          <w:lang w:val="en-US"/>
        </w:rPr>
        <w:t>Chapter 15: Subsidiarity</w:t>
      </w:r>
      <w:r w:rsidRPr="005602A7">
        <w:rPr>
          <w:rFonts w:ascii="Garamond" w:hAnsi="Garamond"/>
          <w:i/>
          <w:iCs/>
          <w:lang w:val="en-US"/>
        </w:rPr>
        <w:t xml:space="preserve">, </w:t>
      </w:r>
      <w:r w:rsidR="002E4218" w:rsidRPr="005602A7">
        <w:rPr>
          <w:rFonts w:ascii="Garamond" w:hAnsi="Garamond"/>
          <w:i/>
          <w:iCs/>
          <w:lang w:val="en-US"/>
        </w:rPr>
        <w:t>in</w:t>
      </w:r>
      <w:r w:rsidR="002E4218" w:rsidRPr="005602A7">
        <w:rPr>
          <w:rFonts w:ascii="Garamond" w:hAnsi="Garamond"/>
          <w:lang w:val="en-US"/>
        </w:rPr>
        <w:t xml:space="preserve"> </w:t>
      </w:r>
      <w:r w:rsidRPr="005602A7">
        <w:rPr>
          <w:rFonts w:ascii="Garamond" w:hAnsi="Garamond"/>
          <w:smallCaps/>
          <w:lang w:val="en-US"/>
        </w:rPr>
        <w:t>The oxford handbook of international human rights law</w:t>
      </w:r>
      <w:r w:rsidR="00986771" w:rsidRPr="005602A7">
        <w:rPr>
          <w:rFonts w:ascii="Garamond" w:hAnsi="Garamond"/>
          <w:lang w:val="en-US"/>
        </w:rPr>
        <w:t xml:space="preserve"> (Dinah Shelton ed., OUP 2013)</w:t>
      </w:r>
      <w:r w:rsidRPr="005602A7">
        <w:rPr>
          <w:rFonts w:ascii="Garamond" w:hAnsi="Garamond"/>
          <w:lang w:val="en-US"/>
        </w:rPr>
        <w:t xml:space="preserve">.  </w:t>
      </w:r>
    </w:p>
  </w:footnote>
  <w:footnote w:id="150">
    <w:p w14:paraId="03D34771" w14:textId="0B48DB20"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7B0360" w:rsidRPr="005602A7">
        <w:rPr>
          <w:rFonts w:ascii="Garamond" w:hAnsi="Garamond"/>
          <w:i/>
          <w:iCs/>
          <w:lang w:val="en-US"/>
        </w:rPr>
        <w:t>Id</w:t>
      </w:r>
      <w:r w:rsidR="007B0360" w:rsidRPr="005602A7">
        <w:rPr>
          <w:rFonts w:ascii="Garamond" w:hAnsi="Garamond"/>
          <w:lang w:val="en-US"/>
        </w:rPr>
        <w:t>.</w:t>
      </w:r>
    </w:p>
  </w:footnote>
  <w:footnote w:id="151">
    <w:p w14:paraId="5B686B21" w14:textId="240591C1"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Paolo </w:t>
      </w:r>
      <w:r w:rsidR="00986771" w:rsidRPr="005602A7">
        <w:rPr>
          <w:rFonts w:ascii="Garamond" w:hAnsi="Garamond"/>
        </w:rPr>
        <w:t>C</w:t>
      </w:r>
      <w:r w:rsidRPr="005602A7">
        <w:rPr>
          <w:rFonts w:ascii="Garamond" w:hAnsi="Garamond"/>
        </w:rPr>
        <w:t>arozza,</w:t>
      </w:r>
      <w:r w:rsidR="00986771" w:rsidRPr="005602A7">
        <w:rPr>
          <w:rFonts w:ascii="Garamond" w:hAnsi="Garamond"/>
        </w:rPr>
        <w:t xml:space="preserve"> </w:t>
      </w:r>
      <w:r w:rsidR="002E4218" w:rsidRPr="005602A7">
        <w:rPr>
          <w:rFonts w:ascii="Garamond" w:hAnsi="Garamond"/>
          <w:i/>
          <w:iCs/>
        </w:rPr>
        <w:t>S</w:t>
      </w:r>
      <w:r w:rsidR="00986771" w:rsidRPr="005602A7">
        <w:rPr>
          <w:rFonts w:ascii="Garamond" w:hAnsi="Garamond"/>
          <w:i/>
          <w:iCs/>
        </w:rPr>
        <w:t>ubsidiarity as a structural principle of international human rights law,</w:t>
      </w:r>
      <w:r w:rsidR="00986771" w:rsidRPr="005602A7">
        <w:rPr>
          <w:rFonts w:ascii="Garamond" w:hAnsi="Garamond"/>
        </w:rPr>
        <w:t xml:space="preserve"> </w:t>
      </w:r>
      <w:r w:rsidR="002E4218" w:rsidRPr="005602A7">
        <w:rPr>
          <w:rFonts w:ascii="Garamond" w:hAnsi="Garamond"/>
        </w:rPr>
        <w:t xml:space="preserve">91(1) </w:t>
      </w:r>
      <w:r w:rsidR="00F772B3" w:rsidRPr="005602A7">
        <w:rPr>
          <w:rFonts w:ascii="Garamond" w:hAnsi="Garamond"/>
          <w:smallCaps/>
        </w:rPr>
        <w:t>American Journal of International Law</w:t>
      </w:r>
      <w:r w:rsidR="00F772B3" w:rsidRPr="005602A7">
        <w:rPr>
          <w:rFonts w:ascii="Garamond" w:hAnsi="Garamond"/>
        </w:rPr>
        <w:t>,</w:t>
      </w:r>
      <w:r w:rsidRPr="005602A7">
        <w:rPr>
          <w:rFonts w:ascii="Garamond" w:hAnsi="Garamond"/>
        </w:rPr>
        <w:t xml:space="preserve"> </w:t>
      </w:r>
      <w:r w:rsidR="00986771" w:rsidRPr="005602A7">
        <w:rPr>
          <w:rFonts w:ascii="Garamond" w:hAnsi="Garamond"/>
        </w:rPr>
        <w:t xml:space="preserve">at </w:t>
      </w:r>
      <w:r w:rsidRPr="005602A7">
        <w:rPr>
          <w:rFonts w:ascii="Garamond" w:hAnsi="Garamond"/>
        </w:rPr>
        <w:t>42</w:t>
      </w:r>
      <w:r w:rsidR="002E4218" w:rsidRPr="005602A7">
        <w:rPr>
          <w:rFonts w:ascii="Garamond" w:hAnsi="Garamond"/>
        </w:rPr>
        <w:t xml:space="preserve"> (2003)</w:t>
      </w:r>
      <w:r w:rsidRPr="005602A7">
        <w:rPr>
          <w:rFonts w:ascii="Garamond" w:hAnsi="Garamond"/>
        </w:rPr>
        <w:t xml:space="preserve">. </w:t>
      </w:r>
    </w:p>
  </w:footnote>
  <w:footnote w:id="152">
    <w:p w14:paraId="4FE2A9DA" w14:textId="76751A00"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B0360" w:rsidRPr="005602A7">
        <w:rPr>
          <w:rFonts w:ascii="Garamond" w:hAnsi="Garamond"/>
          <w:i/>
          <w:iCs/>
        </w:rPr>
        <w:t>Id</w:t>
      </w:r>
      <w:r w:rsidR="007B0360" w:rsidRPr="005602A7">
        <w:rPr>
          <w:rFonts w:ascii="Garamond" w:hAnsi="Garamond"/>
        </w:rPr>
        <w:t xml:space="preserve"> at </w:t>
      </w:r>
      <w:r w:rsidRPr="005602A7">
        <w:rPr>
          <w:rFonts w:ascii="Garamond" w:hAnsi="Garamond"/>
        </w:rPr>
        <w:t>44</w:t>
      </w:r>
      <w:r w:rsidR="00986771" w:rsidRPr="005602A7">
        <w:rPr>
          <w:rFonts w:ascii="Garamond" w:hAnsi="Garamond"/>
        </w:rPr>
        <w:t>.</w:t>
      </w:r>
    </w:p>
  </w:footnote>
  <w:footnote w:id="153">
    <w:p w14:paraId="459AFA5E" w14:textId="0A4BAC14"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Nicholas </w:t>
      </w:r>
      <w:proofErr w:type="spellStart"/>
      <w:r w:rsidRPr="005602A7">
        <w:rPr>
          <w:rFonts w:ascii="Garamond" w:hAnsi="Garamond"/>
        </w:rPr>
        <w:t>Tsagourias</w:t>
      </w:r>
      <w:proofErr w:type="spellEnd"/>
      <w:r w:rsidRPr="005602A7">
        <w:rPr>
          <w:rFonts w:ascii="Garamond" w:hAnsi="Garamond"/>
        </w:rPr>
        <w:t xml:space="preserve">, </w:t>
      </w:r>
      <w:r w:rsidR="009B2B2C" w:rsidRPr="005602A7">
        <w:rPr>
          <w:rFonts w:ascii="Garamond" w:hAnsi="Garamond"/>
          <w:i/>
          <w:iCs/>
        </w:rPr>
        <w:t>Security Council Legislation, Article 2(7) of the UN Charter and the Principle of Subsidiarity</w:t>
      </w:r>
      <w:r w:rsidR="009B2B2C" w:rsidRPr="005602A7">
        <w:rPr>
          <w:rFonts w:ascii="Garamond" w:hAnsi="Garamond"/>
        </w:rPr>
        <w:t xml:space="preserve">, </w:t>
      </w:r>
      <w:r w:rsidR="002E4218" w:rsidRPr="005602A7">
        <w:rPr>
          <w:rFonts w:ascii="Garamond" w:hAnsi="Garamond"/>
        </w:rPr>
        <w:t xml:space="preserve">24(3) </w:t>
      </w:r>
      <w:r w:rsidR="002E4218" w:rsidRPr="005602A7">
        <w:rPr>
          <w:rFonts w:ascii="Garamond" w:hAnsi="Garamond"/>
          <w:smallCaps/>
        </w:rPr>
        <w:t>L</w:t>
      </w:r>
      <w:r w:rsidR="009B2B2C" w:rsidRPr="005602A7">
        <w:rPr>
          <w:rFonts w:ascii="Garamond" w:hAnsi="Garamond"/>
          <w:smallCaps/>
        </w:rPr>
        <w:t>eiden Journal of International Law</w:t>
      </w:r>
      <w:r w:rsidR="009B2B2C" w:rsidRPr="005602A7">
        <w:rPr>
          <w:rFonts w:ascii="Garamond" w:hAnsi="Garamond"/>
        </w:rPr>
        <w:t xml:space="preserve">, (2011). </w:t>
      </w:r>
    </w:p>
  </w:footnote>
  <w:footnote w:id="154">
    <w:p w14:paraId="6583D0BF" w14:textId="6DE85CE6"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006D640B" w:rsidRPr="005602A7">
        <w:rPr>
          <w:rFonts w:ascii="Garamond" w:hAnsi="Garamond"/>
        </w:rPr>
        <w:t xml:space="preserve"> </w:t>
      </w:r>
      <w:r w:rsidR="00E00991" w:rsidRPr="005602A7">
        <w:rPr>
          <w:rFonts w:ascii="Garamond" w:hAnsi="Garamond"/>
        </w:rPr>
        <w:t>Michael B</w:t>
      </w:r>
      <w:r w:rsidRPr="005602A7">
        <w:rPr>
          <w:rFonts w:ascii="Garamond" w:hAnsi="Garamond"/>
        </w:rPr>
        <w:t xml:space="preserve">yers and </w:t>
      </w:r>
      <w:r w:rsidR="00E00991" w:rsidRPr="005602A7">
        <w:rPr>
          <w:rFonts w:ascii="Garamond" w:hAnsi="Garamond"/>
        </w:rPr>
        <w:t xml:space="preserve">Simon </w:t>
      </w:r>
      <w:r w:rsidRPr="005602A7">
        <w:rPr>
          <w:rFonts w:ascii="Garamond" w:hAnsi="Garamond"/>
        </w:rPr>
        <w:t>Chesterman</w:t>
      </w:r>
      <w:r w:rsidR="00E00991" w:rsidRPr="005602A7">
        <w:rPr>
          <w:rFonts w:ascii="Garamond" w:hAnsi="Garamond"/>
        </w:rPr>
        <w:t xml:space="preserve">, </w:t>
      </w:r>
      <w:r w:rsidR="00E00991" w:rsidRPr="005602A7">
        <w:rPr>
          <w:rFonts w:ascii="Garamond" w:hAnsi="Garamond"/>
          <w:i/>
          <w:iCs/>
        </w:rPr>
        <w:t xml:space="preserve">“You, the People”: Pro-democratic intervention in international law, in </w:t>
      </w:r>
      <w:r w:rsidR="00E00991" w:rsidRPr="005602A7">
        <w:rPr>
          <w:rFonts w:ascii="Garamond" w:hAnsi="Garamond"/>
          <w:smallCaps/>
        </w:rPr>
        <w:t xml:space="preserve">Democratic Governance and International Law </w:t>
      </w:r>
      <w:r w:rsidR="00E00991" w:rsidRPr="005602A7">
        <w:rPr>
          <w:rFonts w:ascii="Garamond" w:hAnsi="Garamond"/>
        </w:rPr>
        <w:t>(Gregory Fox and Brad Roth eds</w:t>
      </w:r>
      <w:r w:rsidR="00E51B35" w:rsidRPr="005602A7">
        <w:rPr>
          <w:rFonts w:ascii="Garamond" w:hAnsi="Garamond"/>
        </w:rPr>
        <w:t xml:space="preserve">, CUP </w:t>
      </w:r>
      <w:r w:rsidR="00E35FD5" w:rsidRPr="005602A7">
        <w:rPr>
          <w:rFonts w:ascii="Garamond" w:hAnsi="Garamond"/>
        </w:rPr>
        <w:t>2000</w:t>
      </w:r>
      <w:r w:rsidR="00E00991" w:rsidRPr="005602A7">
        <w:rPr>
          <w:rFonts w:ascii="Garamond" w:hAnsi="Garamond"/>
        </w:rPr>
        <w:t>)</w:t>
      </w:r>
      <w:r w:rsidRPr="005602A7">
        <w:rPr>
          <w:rFonts w:ascii="Garamond" w:hAnsi="Garamond"/>
        </w:rPr>
        <w:t xml:space="preserve">; </w:t>
      </w:r>
      <w:r w:rsidR="00E00991" w:rsidRPr="005602A7">
        <w:rPr>
          <w:rFonts w:ascii="Garamond" w:hAnsi="Garamond" w:cs="Times New Roman"/>
        </w:rPr>
        <w:t xml:space="preserve">Claus </w:t>
      </w:r>
      <w:r w:rsidR="00E00991" w:rsidRPr="005602A7">
        <w:rPr>
          <w:rFonts w:ascii="Garamond" w:hAnsi="Garamond" w:cs="Times New Roman"/>
          <w:lang w:val="en-US"/>
        </w:rPr>
        <w:t xml:space="preserve">Kress and Benjamin </w:t>
      </w:r>
      <w:proofErr w:type="spellStart"/>
      <w:r w:rsidR="00E00991" w:rsidRPr="005602A7">
        <w:rPr>
          <w:rFonts w:ascii="Garamond" w:hAnsi="Garamond" w:cs="Times New Roman"/>
          <w:lang w:val="en-US"/>
        </w:rPr>
        <w:t>Nussberger</w:t>
      </w:r>
      <w:proofErr w:type="spellEnd"/>
      <w:r w:rsidR="00E00991" w:rsidRPr="005602A7">
        <w:rPr>
          <w:rFonts w:ascii="Garamond" w:hAnsi="Garamond" w:cs="Times New Roman"/>
          <w:lang w:val="en-US"/>
        </w:rPr>
        <w:t xml:space="preserve">, </w:t>
      </w:r>
      <w:r w:rsidR="00E00991" w:rsidRPr="005602A7">
        <w:rPr>
          <w:rFonts w:ascii="Garamond" w:hAnsi="Garamond" w:cs="Times New Roman"/>
          <w:i/>
          <w:iCs/>
          <w:lang w:val="en-US"/>
        </w:rPr>
        <w:t>Pro-Democratic Intervention in Current International Law: The Case of the Gambia in January 2017</w:t>
      </w:r>
      <w:r w:rsidR="003D4A28" w:rsidRPr="005602A7">
        <w:rPr>
          <w:rFonts w:ascii="Garamond" w:hAnsi="Garamond" w:cs="Times New Roman"/>
          <w:i/>
          <w:iCs/>
          <w:lang w:val="en-US"/>
        </w:rPr>
        <w:t xml:space="preserve">, </w:t>
      </w:r>
      <w:r w:rsidR="00E00991" w:rsidRPr="005602A7">
        <w:rPr>
          <w:rFonts w:ascii="Garamond" w:hAnsi="Garamond" w:cs="Times New Roman"/>
          <w:lang w:val="en-US"/>
        </w:rPr>
        <w:t xml:space="preserve">4(2) </w:t>
      </w:r>
      <w:r w:rsidR="00E00991" w:rsidRPr="005602A7">
        <w:rPr>
          <w:rFonts w:ascii="Garamond" w:hAnsi="Garamond" w:cs="Times New Roman"/>
          <w:smallCaps/>
          <w:lang w:val="en-US"/>
        </w:rPr>
        <w:t>Journal on the Use of Force and International Law</w:t>
      </w:r>
      <w:r w:rsidR="00E00991" w:rsidRPr="005602A7">
        <w:rPr>
          <w:rFonts w:ascii="Garamond" w:hAnsi="Garamond" w:cs="Times New Roman"/>
          <w:lang w:val="en-US"/>
        </w:rPr>
        <w:t xml:space="preserve"> 239, at </w:t>
      </w:r>
      <w:r w:rsidRPr="005602A7">
        <w:rPr>
          <w:rFonts w:ascii="Garamond" w:hAnsi="Garamond"/>
          <w:lang w:val="en-US"/>
        </w:rPr>
        <w:t>244-246</w:t>
      </w:r>
      <w:r w:rsidR="003D4A28" w:rsidRPr="005602A7">
        <w:rPr>
          <w:rFonts w:ascii="Garamond" w:hAnsi="Garamond"/>
          <w:lang w:val="en-US"/>
        </w:rPr>
        <w:t xml:space="preserve"> </w:t>
      </w:r>
      <w:r w:rsidR="003D4A28" w:rsidRPr="005602A7">
        <w:rPr>
          <w:rFonts w:ascii="Garamond" w:hAnsi="Garamond" w:cs="Times New Roman"/>
          <w:lang w:val="en-US"/>
        </w:rPr>
        <w:t>(2017)</w:t>
      </w:r>
      <w:r w:rsidRPr="005602A7">
        <w:rPr>
          <w:rFonts w:ascii="Garamond" w:hAnsi="Garamond"/>
          <w:lang w:val="en-US"/>
        </w:rPr>
        <w:t>.</w:t>
      </w:r>
    </w:p>
  </w:footnote>
  <w:footnote w:id="155">
    <w:p w14:paraId="0CEC1F1C" w14:textId="5C273F35"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6D640B" w:rsidRPr="005602A7">
        <w:rPr>
          <w:rFonts w:ascii="Garamond" w:hAnsi="Garamond"/>
        </w:rPr>
        <w:t>T</w:t>
      </w:r>
      <w:r w:rsidRPr="005602A7">
        <w:rPr>
          <w:rFonts w:ascii="Garamond" w:hAnsi="Garamond"/>
          <w:lang w:val="en-US"/>
        </w:rPr>
        <w:t>his interpretation also has support in the travaux of the charter</w:t>
      </w:r>
      <w:r w:rsidR="006D640B" w:rsidRPr="005602A7">
        <w:rPr>
          <w:rFonts w:ascii="Garamond" w:hAnsi="Garamond"/>
          <w:lang w:val="en-US"/>
        </w:rPr>
        <w:t>, see:</w:t>
      </w:r>
      <w:r w:rsidR="00056518" w:rsidRPr="005602A7">
        <w:rPr>
          <w:rFonts w:ascii="Garamond" w:hAnsi="Garamond"/>
          <w:lang w:val="en-US"/>
        </w:rPr>
        <w:t xml:space="preserve"> Georg Nolte, Intervention by Invitation, Max Planck Encyclopedia of Public International Law, (2010);</w:t>
      </w:r>
      <w:r w:rsidRPr="005602A7">
        <w:rPr>
          <w:rFonts w:ascii="Garamond" w:hAnsi="Garamond"/>
          <w:lang w:val="en-US"/>
        </w:rPr>
        <w:t xml:space="preserve"> </w:t>
      </w:r>
      <w:r w:rsidR="00A84147" w:rsidRPr="005602A7">
        <w:rPr>
          <w:rFonts w:ascii="Garamond" w:hAnsi="Garamond" w:cs="Times New Roman"/>
          <w:lang w:val="en-US"/>
        </w:rPr>
        <w:t xml:space="preserve">10th Commission, </w:t>
      </w:r>
      <w:proofErr w:type="spellStart"/>
      <w:r w:rsidR="00A84147" w:rsidRPr="005602A7">
        <w:rPr>
          <w:rFonts w:ascii="Garamond" w:hAnsi="Garamond" w:cs="Times New Roman"/>
          <w:lang w:val="en-US"/>
        </w:rPr>
        <w:t>Institut</w:t>
      </w:r>
      <w:proofErr w:type="spellEnd"/>
      <w:r w:rsidR="00A84147" w:rsidRPr="005602A7">
        <w:rPr>
          <w:rFonts w:ascii="Garamond" w:hAnsi="Garamond" w:cs="Times New Roman"/>
          <w:lang w:val="en-US"/>
        </w:rPr>
        <w:t xml:space="preserve"> de Droit International, </w:t>
      </w:r>
      <w:r w:rsidR="00481686" w:rsidRPr="005602A7">
        <w:rPr>
          <w:rFonts w:ascii="Garamond" w:hAnsi="Garamond" w:cs="Times New Roman"/>
          <w:i/>
          <w:iCs/>
          <w:lang w:val="en-US"/>
        </w:rPr>
        <w:t xml:space="preserve">supra </w:t>
      </w:r>
      <w:r w:rsidR="00481686" w:rsidRPr="005602A7">
        <w:rPr>
          <w:rFonts w:ascii="Garamond" w:hAnsi="Garamond" w:cs="Times New Roman"/>
          <w:lang w:val="en-US"/>
        </w:rPr>
        <w:t xml:space="preserve">note 7 at </w:t>
      </w:r>
      <w:r w:rsidR="00A84147" w:rsidRPr="005602A7">
        <w:rPr>
          <w:rFonts w:ascii="Garamond" w:hAnsi="Garamond" w:cs="Times New Roman"/>
          <w:lang w:val="en-US"/>
        </w:rPr>
        <w:t>3</w:t>
      </w:r>
      <w:r w:rsidR="00481686" w:rsidRPr="005602A7">
        <w:rPr>
          <w:rFonts w:ascii="Garamond" w:hAnsi="Garamond" w:cs="Times New Roman"/>
          <w:lang w:val="en-US"/>
        </w:rPr>
        <w:t xml:space="preserve">07-308, </w:t>
      </w:r>
      <w:r w:rsidRPr="005602A7">
        <w:rPr>
          <w:rFonts w:ascii="Garamond" w:hAnsi="Garamond"/>
          <w:lang w:val="en-US"/>
        </w:rPr>
        <w:t xml:space="preserve">; </w:t>
      </w:r>
      <w:r w:rsidR="00002A20" w:rsidRPr="005602A7">
        <w:rPr>
          <w:rFonts w:ascii="Garamond" w:hAnsi="Garamond" w:cs="Times New Roman"/>
          <w:smallCaps/>
          <w:lang w:val="en-US"/>
        </w:rPr>
        <w:t>de Wet,</w:t>
      </w:r>
      <w:r w:rsidR="00002A20" w:rsidRPr="005602A7">
        <w:rPr>
          <w:rFonts w:ascii="Garamond" w:hAnsi="Garamond" w:cs="Times New Roman"/>
          <w:lang w:val="en-US"/>
        </w:rPr>
        <w:t xml:space="preserve"> </w:t>
      </w:r>
      <w:r w:rsidR="00F12B63" w:rsidRPr="005602A7">
        <w:rPr>
          <w:rFonts w:ascii="Garamond" w:hAnsi="Garamond" w:cs="Times New Roman"/>
          <w:smallCaps/>
          <w:lang w:val="en-US"/>
        </w:rPr>
        <w:t>Military Assistance on Request and the Use of Force</w:t>
      </w:r>
      <w:r w:rsidR="00F12B63" w:rsidRPr="005602A7">
        <w:rPr>
          <w:rFonts w:ascii="Garamond" w:hAnsi="Garamond" w:cs="Times New Roman"/>
          <w:i/>
          <w:iCs/>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 </w:t>
      </w:r>
      <w:r w:rsidR="00056518" w:rsidRPr="005602A7">
        <w:rPr>
          <w:rFonts w:ascii="Garamond" w:hAnsi="Garamond" w:cs="Times New Roman"/>
          <w:lang w:val="en-US"/>
        </w:rPr>
        <w:t xml:space="preserve">at </w:t>
      </w:r>
      <w:r w:rsidRPr="005602A7">
        <w:rPr>
          <w:rFonts w:ascii="Garamond" w:hAnsi="Garamond" w:cs="Times New Roman"/>
        </w:rPr>
        <w:t xml:space="preserve">chapter 3; </w:t>
      </w:r>
      <w:r w:rsidR="00E00991" w:rsidRPr="005602A7">
        <w:rPr>
          <w:rFonts w:ascii="Garamond" w:eastAsia="Times New Roman" w:hAnsi="Garamond" w:cs="Times New Roman"/>
          <w:kern w:val="0"/>
          <w:lang w:val="en-US"/>
          <w14:ligatures w14:val="none"/>
        </w:rPr>
        <w:t xml:space="preserve">Oona Hathaway </w:t>
      </w:r>
      <w:r w:rsidR="003D4A28" w:rsidRPr="005602A7">
        <w:rPr>
          <w:rFonts w:ascii="Garamond" w:eastAsia="Times New Roman" w:hAnsi="Garamond" w:cs="Times New Roman"/>
          <w:kern w:val="0"/>
          <w:lang w:val="en-US"/>
          <w14:ligatures w14:val="none"/>
        </w:rPr>
        <w:t>et al</w:t>
      </w:r>
      <w:r w:rsidR="00E00991" w:rsidRPr="005602A7">
        <w:rPr>
          <w:rFonts w:ascii="Garamond" w:eastAsia="Times New Roman" w:hAnsi="Garamond" w:cs="Times New Roman"/>
          <w:kern w:val="0"/>
          <w:lang w:val="en-US"/>
          <w14:ligatures w14:val="none"/>
        </w:rPr>
        <w:t xml:space="preserve">, </w:t>
      </w:r>
      <w:r w:rsidR="00E00991" w:rsidRPr="005602A7">
        <w:rPr>
          <w:rFonts w:ascii="Garamond" w:eastAsia="Times New Roman" w:hAnsi="Garamond" w:cs="Times New Roman"/>
          <w:i/>
          <w:iCs/>
          <w:kern w:val="0"/>
          <w:lang w:val="en-US"/>
          <w14:ligatures w14:val="none"/>
        </w:rPr>
        <w:t>Consent-Based Humanitarian Intervention: Giving Sovereign Responsibility Back to the Sovereign</w:t>
      </w:r>
      <w:r w:rsidR="003D4A28" w:rsidRPr="005602A7">
        <w:rPr>
          <w:rFonts w:ascii="Garamond" w:eastAsia="Times New Roman" w:hAnsi="Garamond" w:cs="Times New Roman"/>
          <w:i/>
          <w:iCs/>
          <w:kern w:val="0"/>
          <w:lang w:val="en-US"/>
          <w14:ligatures w14:val="none"/>
        </w:rPr>
        <w:t xml:space="preserve">, </w:t>
      </w:r>
      <w:r w:rsidR="00E00991" w:rsidRPr="005602A7">
        <w:rPr>
          <w:rFonts w:ascii="Garamond" w:eastAsia="Times New Roman" w:hAnsi="Garamond" w:cs="Times New Roman"/>
          <w:smallCaps/>
          <w:kern w:val="0"/>
          <w:lang w:val="en-US"/>
          <w14:ligatures w14:val="none"/>
        </w:rPr>
        <w:t>46(3) Cornell International Law Journal</w:t>
      </w:r>
      <w:r w:rsidR="00E00991" w:rsidRPr="005602A7">
        <w:rPr>
          <w:rFonts w:ascii="Garamond" w:eastAsia="Times New Roman" w:hAnsi="Garamond" w:cs="Times New Roman"/>
          <w:kern w:val="0"/>
          <w:lang w:val="en-US"/>
          <w14:ligatures w14:val="none"/>
        </w:rPr>
        <w:t xml:space="preserve"> 499 </w:t>
      </w:r>
      <w:r w:rsidR="003D4A28" w:rsidRPr="005602A7">
        <w:rPr>
          <w:rFonts w:ascii="Garamond" w:eastAsia="Times New Roman" w:hAnsi="Garamond" w:cs="Times New Roman"/>
          <w:kern w:val="0"/>
          <w:lang w:val="en-US"/>
          <w14:ligatures w14:val="none"/>
        </w:rPr>
        <w:t>(2013)</w:t>
      </w:r>
      <w:r w:rsidRPr="005602A7">
        <w:rPr>
          <w:rFonts w:ascii="Garamond" w:hAnsi="Garamond" w:cs="Times New Roman"/>
          <w:lang w:val="en-US"/>
        </w:rPr>
        <w:t xml:space="preserve">; </w:t>
      </w:r>
      <w:r w:rsidR="00F71040" w:rsidRPr="005602A7">
        <w:rPr>
          <w:rFonts w:ascii="Garamond" w:hAnsi="Garamond" w:cs="Times New Roman"/>
        </w:rPr>
        <w:t xml:space="preserve">Benjamin </w:t>
      </w:r>
      <w:proofErr w:type="spellStart"/>
      <w:r w:rsidR="00F71040" w:rsidRPr="005602A7">
        <w:rPr>
          <w:rFonts w:ascii="Garamond" w:hAnsi="Garamond" w:cs="Times New Roman"/>
          <w:lang w:val="en-US"/>
        </w:rPr>
        <w:t>Nussberger</w:t>
      </w:r>
      <w:proofErr w:type="spellEnd"/>
      <w:r w:rsidR="00F71040" w:rsidRPr="005602A7">
        <w:rPr>
          <w:rFonts w:ascii="Garamond" w:hAnsi="Garamond" w:cs="Times New Roman"/>
          <w:lang w:val="en-US"/>
        </w:rPr>
        <w:t xml:space="preserve">, </w:t>
      </w:r>
      <w:r w:rsidR="00F71040" w:rsidRPr="005602A7">
        <w:rPr>
          <w:rFonts w:ascii="Garamond" w:hAnsi="Garamond" w:cs="Times New Roman"/>
          <w:i/>
          <w:iCs/>
          <w:lang w:val="en-US"/>
        </w:rPr>
        <w:t>Military Strikes in Yemen in 2015: Intervention by invitation and self-defense in the course of Yemen’s ‘model transitional process</w:t>
      </w:r>
      <w:r w:rsidR="003D4A28" w:rsidRPr="005602A7">
        <w:rPr>
          <w:rFonts w:ascii="Garamond" w:hAnsi="Garamond" w:cs="Times New Roman"/>
          <w:i/>
          <w:iCs/>
          <w:lang w:val="en-US"/>
        </w:rPr>
        <w:t xml:space="preserve">, </w:t>
      </w:r>
      <w:r w:rsidR="00F71040" w:rsidRPr="005602A7">
        <w:rPr>
          <w:rFonts w:ascii="Garamond" w:hAnsi="Garamond" w:cs="Times New Roman"/>
          <w:lang w:val="en-US"/>
        </w:rPr>
        <w:t xml:space="preserve">4(1) </w:t>
      </w:r>
      <w:r w:rsidR="00F71040" w:rsidRPr="005602A7">
        <w:rPr>
          <w:rFonts w:ascii="Garamond" w:hAnsi="Garamond" w:cs="Times New Roman"/>
          <w:smallCaps/>
          <w:lang w:val="en-US"/>
        </w:rPr>
        <w:t>Journal on the Use of Force and International Law</w:t>
      </w:r>
      <w:r w:rsidR="00F71040" w:rsidRPr="005602A7">
        <w:rPr>
          <w:rFonts w:ascii="Garamond" w:hAnsi="Garamond" w:cs="Times New Roman"/>
          <w:lang w:val="en-US"/>
        </w:rPr>
        <w:t xml:space="preserve"> 1, 21-23</w:t>
      </w:r>
      <w:r w:rsidR="003D4A28" w:rsidRPr="005602A7">
        <w:rPr>
          <w:rFonts w:ascii="Garamond" w:hAnsi="Garamond" w:cs="Times New Roman"/>
          <w:lang w:val="en-US"/>
        </w:rPr>
        <w:t xml:space="preserve"> (2017</w:t>
      </w:r>
      <w:r w:rsidR="002F7F8D" w:rsidRPr="005602A7">
        <w:rPr>
          <w:rFonts w:ascii="Garamond" w:hAnsi="Garamond" w:cs="Times New Roman"/>
          <w:lang w:val="en-US"/>
        </w:rPr>
        <w:t>)</w:t>
      </w:r>
      <w:r w:rsidRPr="005602A7">
        <w:rPr>
          <w:rFonts w:ascii="Garamond" w:hAnsi="Garamond" w:cs="Times New Roman"/>
          <w:lang w:val="en-US"/>
        </w:rPr>
        <w:t xml:space="preserve">; </w:t>
      </w:r>
      <w:r w:rsidR="00F71040" w:rsidRPr="005602A7">
        <w:rPr>
          <w:rFonts w:ascii="Garamond" w:eastAsia="Times New Roman" w:hAnsi="Garamond" w:cs="Times New Roman"/>
          <w:kern w:val="0"/>
          <w:lang w:val="en-US"/>
          <w14:ligatures w14:val="none"/>
        </w:rPr>
        <w:t xml:space="preserve">Dino </w:t>
      </w:r>
      <w:proofErr w:type="spellStart"/>
      <w:r w:rsidR="00F71040" w:rsidRPr="005602A7">
        <w:rPr>
          <w:rFonts w:ascii="Garamond" w:eastAsia="Times New Roman" w:hAnsi="Garamond" w:cs="Times New Roman"/>
          <w:kern w:val="0"/>
          <w:lang w:val="en-US"/>
          <w14:ligatures w14:val="none"/>
        </w:rPr>
        <w:t>Kritsiotis</w:t>
      </w:r>
      <w:proofErr w:type="spellEnd"/>
      <w:r w:rsidR="00F71040" w:rsidRPr="005602A7">
        <w:rPr>
          <w:rFonts w:ascii="Garamond" w:eastAsia="Times New Roman" w:hAnsi="Garamond" w:cs="Times New Roman"/>
          <w:kern w:val="0"/>
          <w:lang w:val="en-US"/>
          <w14:ligatures w14:val="none"/>
        </w:rPr>
        <w:t xml:space="preserve">, </w:t>
      </w:r>
      <w:r w:rsidR="00F71040" w:rsidRPr="005602A7">
        <w:rPr>
          <w:rFonts w:ascii="Garamond" w:eastAsia="Times New Roman" w:hAnsi="Garamond" w:cs="Times New Roman"/>
          <w:i/>
          <w:iCs/>
          <w:kern w:val="0"/>
          <w:lang w:val="en-US"/>
          <w14:ligatures w14:val="none"/>
        </w:rPr>
        <w:t>Arguments of Mass Confusion’</w:t>
      </w:r>
      <w:r w:rsidR="003D4A28" w:rsidRPr="005602A7">
        <w:rPr>
          <w:rFonts w:ascii="Garamond" w:eastAsia="Times New Roman" w:hAnsi="Garamond" w:cs="Times New Roman"/>
          <w:kern w:val="0"/>
          <w:lang w:val="en-US"/>
          <w14:ligatures w14:val="none"/>
        </w:rPr>
        <w:t xml:space="preserve"> </w:t>
      </w:r>
      <w:r w:rsidR="00F71040" w:rsidRPr="005602A7">
        <w:rPr>
          <w:rFonts w:ascii="Garamond" w:eastAsia="Times New Roman" w:hAnsi="Garamond" w:cs="Times New Roman"/>
          <w:kern w:val="0"/>
          <w:lang w:val="en-US"/>
          <w14:ligatures w14:val="none"/>
        </w:rPr>
        <w:t xml:space="preserve">15(2) </w:t>
      </w:r>
      <w:r w:rsidR="003D4A28" w:rsidRPr="005602A7">
        <w:rPr>
          <w:rFonts w:ascii="Garamond" w:eastAsia="Times New Roman" w:hAnsi="Garamond" w:cs="Times New Roman"/>
          <w:kern w:val="0"/>
          <w:lang w:val="en-US"/>
          <w14:ligatures w14:val="none"/>
        </w:rPr>
        <w:t xml:space="preserve">EJIL </w:t>
      </w:r>
      <w:r w:rsidR="00F71040" w:rsidRPr="005602A7">
        <w:rPr>
          <w:rFonts w:ascii="Garamond" w:eastAsia="Times New Roman" w:hAnsi="Garamond" w:cs="Times New Roman"/>
          <w:kern w:val="0"/>
          <w:lang w:val="en-US"/>
          <w14:ligatures w14:val="none"/>
        </w:rPr>
        <w:t>233, 274</w:t>
      </w:r>
      <w:r w:rsidR="003D4A28" w:rsidRPr="005602A7">
        <w:rPr>
          <w:rFonts w:ascii="Garamond" w:eastAsia="Times New Roman" w:hAnsi="Garamond" w:cs="Times New Roman"/>
          <w:kern w:val="0"/>
          <w:lang w:val="en-US"/>
          <w14:ligatures w14:val="none"/>
        </w:rPr>
        <w:t xml:space="preserve"> (2004)</w:t>
      </w:r>
      <w:r w:rsidR="00F71040" w:rsidRPr="005602A7">
        <w:rPr>
          <w:rFonts w:ascii="Garamond" w:eastAsia="Times New Roman" w:hAnsi="Garamond" w:cs="Times New Roman"/>
          <w:kern w:val="0"/>
          <w:lang w:val="en-US"/>
          <w14:ligatures w14:val="none"/>
        </w:rPr>
        <w:t>.</w:t>
      </w:r>
    </w:p>
  </w:footnote>
  <w:footnote w:id="156">
    <w:p w14:paraId="3196D28E" w14:textId="143D0D91" w:rsidR="00823E24" w:rsidRPr="005602A7" w:rsidRDefault="00823E2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cs="Times New Roman"/>
        </w:rPr>
        <w:t xml:space="preserve">Oliver </w:t>
      </w:r>
      <w:r w:rsidRPr="005602A7">
        <w:rPr>
          <w:rFonts w:ascii="Garamond" w:hAnsi="Garamond" w:cs="Times New Roman"/>
          <w:lang w:val="en-US"/>
        </w:rPr>
        <w:t xml:space="preserve">Dörr, and Albrecht </w:t>
      </w:r>
      <w:proofErr w:type="spellStart"/>
      <w:r w:rsidRPr="005602A7">
        <w:rPr>
          <w:rFonts w:ascii="Garamond" w:hAnsi="Garamond" w:cs="Times New Roman"/>
          <w:lang w:val="en-US"/>
        </w:rPr>
        <w:t>Randelzhofer</w:t>
      </w:r>
      <w:proofErr w:type="spellEnd"/>
      <w:r w:rsidRPr="005602A7">
        <w:rPr>
          <w:rFonts w:ascii="Garamond" w:hAnsi="Garamond" w:cs="Times New Roman"/>
          <w:lang w:val="en-US"/>
        </w:rPr>
        <w:t xml:space="preserve">, ‘Purposes and Principles, Article 2(4)’ in Bruno Simma and others (eds), </w:t>
      </w:r>
      <w:r w:rsidRPr="005602A7">
        <w:rPr>
          <w:rFonts w:ascii="Garamond" w:hAnsi="Garamond" w:cs="Times New Roman"/>
          <w:smallCaps/>
          <w:lang w:val="en-US"/>
        </w:rPr>
        <w:t>The Charter of the United Nations: A Commentary, Volume I</w:t>
      </w:r>
      <w:r w:rsidRPr="005602A7">
        <w:rPr>
          <w:rFonts w:ascii="Garamond" w:hAnsi="Garamond" w:cs="Times New Roman"/>
          <w:lang w:val="en-US"/>
        </w:rPr>
        <w:t xml:space="preserve"> (3rd </w:t>
      </w:r>
      <w:proofErr w:type="spellStart"/>
      <w:r w:rsidRPr="005602A7">
        <w:rPr>
          <w:rFonts w:ascii="Garamond" w:hAnsi="Garamond" w:cs="Times New Roman"/>
          <w:lang w:val="en-US"/>
        </w:rPr>
        <w:t>edn</w:t>
      </w:r>
      <w:proofErr w:type="spellEnd"/>
      <w:r w:rsidRPr="005602A7">
        <w:rPr>
          <w:rFonts w:ascii="Garamond" w:hAnsi="Garamond" w:cs="Times New Roman"/>
          <w:lang w:val="en-US"/>
        </w:rPr>
        <w:t xml:space="preserve">, Oxford University Press 2012); </w:t>
      </w:r>
      <w:r w:rsidR="0091207B" w:rsidRPr="005602A7">
        <w:rPr>
          <w:rFonts w:ascii="Garamond" w:hAnsi="Garamond" w:cs="Times New Roman"/>
          <w:lang w:val="en-US"/>
        </w:rPr>
        <w:t xml:space="preserve">Visser, </w:t>
      </w:r>
      <w:r w:rsidR="0091207B" w:rsidRPr="005602A7">
        <w:rPr>
          <w:rFonts w:ascii="Garamond" w:hAnsi="Garamond" w:cs="Times New Roman"/>
          <w:i/>
          <w:iCs/>
          <w:lang w:val="en-US"/>
        </w:rPr>
        <w:t>May the Force Be With You:</w:t>
      </w:r>
      <w:r w:rsidRPr="005602A7">
        <w:rPr>
          <w:rFonts w:ascii="Garamond" w:hAnsi="Garamond" w:cs="Times New Roman"/>
          <w:lang w:val="en-US"/>
        </w:rPr>
        <w:t xml:space="preserve"> </w:t>
      </w:r>
      <w:r w:rsidR="0011737E" w:rsidRPr="005602A7">
        <w:rPr>
          <w:rFonts w:ascii="Garamond" w:hAnsi="Garamond" w:cs="Times New Roman"/>
          <w:i/>
          <w:iCs/>
          <w:lang w:val="en-US"/>
        </w:rPr>
        <w:t xml:space="preserve">supra </w:t>
      </w:r>
      <w:r w:rsidR="0011737E" w:rsidRPr="005602A7">
        <w:rPr>
          <w:rFonts w:ascii="Garamond" w:hAnsi="Garamond" w:cs="Times New Roman"/>
          <w:lang w:val="en-US"/>
        </w:rPr>
        <w:t xml:space="preserve">note 1, at </w:t>
      </w:r>
      <w:r w:rsidRPr="005602A7">
        <w:rPr>
          <w:rFonts w:ascii="Garamond" w:hAnsi="Garamond"/>
        </w:rPr>
        <w:t>41</w:t>
      </w:r>
      <w:r w:rsidR="00B343C7" w:rsidRPr="005602A7">
        <w:rPr>
          <w:rFonts w:ascii="Garamond" w:hAnsi="Garamond"/>
        </w:rPr>
        <w:t xml:space="preserve">; Erin </w:t>
      </w:r>
      <w:proofErr w:type="spellStart"/>
      <w:r w:rsidR="00B343C7" w:rsidRPr="005602A7">
        <w:rPr>
          <w:rFonts w:ascii="Garamond" w:hAnsi="Garamond"/>
        </w:rPr>
        <w:t>Pobjie</w:t>
      </w:r>
      <w:proofErr w:type="spellEnd"/>
      <w:r w:rsidR="00B343C7" w:rsidRPr="005602A7">
        <w:rPr>
          <w:rFonts w:ascii="Garamond" w:hAnsi="Garamond"/>
        </w:rPr>
        <w:t xml:space="preserve">, </w:t>
      </w:r>
      <w:r w:rsidR="00B343C7" w:rsidRPr="005602A7">
        <w:rPr>
          <w:rFonts w:ascii="Garamond" w:hAnsi="Garamond"/>
          <w:i/>
          <w:iCs/>
        </w:rPr>
        <w:t xml:space="preserve">The Relationship between the Customary Prohibition of the Use of Force and Article 2(4) of the UN Charter, in </w:t>
      </w:r>
      <w:r w:rsidR="00B343C7" w:rsidRPr="005602A7">
        <w:rPr>
          <w:rFonts w:ascii="Garamond" w:hAnsi="Garamond"/>
          <w:smallCaps/>
        </w:rPr>
        <w:t>Prohibited Force: The Meaning of ‘Use of Force' in International Law</w:t>
      </w:r>
      <w:r w:rsidR="00B343C7" w:rsidRPr="005602A7">
        <w:rPr>
          <w:rFonts w:ascii="Garamond" w:hAnsi="Garamond"/>
        </w:rPr>
        <w:t xml:space="preserve"> (CUP 2024) 78, argues that the content of the rule under 2(4) and its analogue in custom are currently identical. Further 2(4) is the </w:t>
      </w:r>
      <w:r w:rsidR="00B343C7" w:rsidRPr="005602A7">
        <w:rPr>
          <w:rFonts w:ascii="Garamond" w:hAnsi="Garamond"/>
          <w:i/>
          <w:iCs/>
        </w:rPr>
        <w:t xml:space="preserve">source </w:t>
      </w:r>
      <w:r w:rsidR="00B343C7" w:rsidRPr="005602A7">
        <w:rPr>
          <w:rFonts w:ascii="Garamond" w:hAnsi="Garamond"/>
        </w:rPr>
        <w:t>of the customary rule; Armed Activities Case paras 42-53; In the Military and Paramilitary Activities case, the ICJ appeared to affirm the permissibility of intervention by invitation (para 246).</w:t>
      </w:r>
    </w:p>
  </w:footnote>
  <w:footnote w:id="157">
    <w:p w14:paraId="0AB0744D" w14:textId="55665A1E" w:rsidR="00823E24" w:rsidRPr="005602A7" w:rsidRDefault="00823E2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Military and Paramilitary Activities in and against Nicaragua, Nicaragua v United States, Judgment on Jurisdiction and Admissibility [1984] ICJ Rep 392, at para 246; </w:t>
      </w:r>
      <w:r w:rsidRPr="005602A7">
        <w:rPr>
          <w:rFonts w:ascii="Garamond" w:eastAsia="Times New Roman" w:hAnsi="Garamond" w:cs="Times New Roman"/>
          <w:kern w:val="0"/>
          <w:lang w:val="en-US"/>
          <w14:ligatures w14:val="none"/>
        </w:rPr>
        <w:t xml:space="preserve">Hathaway et al, </w:t>
      </w:r>
      <w:r w:rsidR="00F12B63" w:rsidRPr="005602A7">
        <w:rPr>
          <w:rFonts w:ascii="Garamond" w:eastAsia="Times New Roman" w:hAnsi="Garamond" w:cs="Times New Roman"/>
          <w:i/>
          <w:iCs/>
          <w:kern w:val="0"/>
          <w:lang w:val="en-US"/>
          <w14:ligatures w14:val="none"/>
        </w:rPr>
        <w:t xml:space="preserve">Consent-Based Humanitarian Intervention, </w:t>
      </w:r>
      <w:r w:rsidR="00492BC1" w:rsidRPr="005602A7">
        <w:rPr>
          <w:rFonts w:ascii="Garamond" w:eastAsia="Times New Roman" w:hAnsi="Garamond" w:cs="Times New Roman"/>
          <w:i/>
          <w:iCs/>
          <w:kern w:val="0"/>
          <w:lang w:val="en-US"/>
          <w14:ligatures w14:val="none"/>
        </w:rPr>
        <w:t xml:space="preserve">supra </w:t>
      </w:r>
      <w:r w:rsidR="00492BC1" w:rsidRPr="005602A7">
        <w:rPr>
          <w:rFonts w:ascii="Garamond" w:eastAsia="Times New Roman" w:hAnsi="Garamond" w:cs="Times New Roman"/>
          <w:kern w:val="0"/>
          <w:lang w:val="en-US"/>
          <w14:ligatures w14:val="none"/>
        </w:rPr>
        <w:t xml:space="preserve">note 154 at </w:t>
      </w:r>
      <w:r w:rsidRPr="005602A7">
        <w:rPr>
          <w:rFonts w:ascii="Garamond" w:hAnsi="Garamond"/>
          <w:lang w:val="en-US"/>
        </w:rPr>
        <w:t>540-541.</w:t>
      </w:r>
    </w:p>
  </w:footnote>
  <w:footnote w:id="158">
    <w:p w14:paraId="605A4BC0" w14:textId="7B1AF27C" w:rsidR="00B343C7" w:rsidRPr="005602A7" w:rsidRDefault="00B343C7"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cs="Times New Roman"/>
          <w:lang w:val="en-US"/>
        </w:rPr>
        <w:t xml:space="preserve">Buchan and </w:t>
      </w:r>
      <w:proofErr w:type="spellStart"/>
      <w:r w:rsidRPr="005602A7">
        <w:rPr>
          <w:rFonts w:ascii="Garamond" w:hAnsi="Garamond" w:cs="Times New Roman"/>
          <w:lang w:val="en-US"/>
        </w:rPr>
        <w:t>Tsagourias</w:t>
      </w:r>
      <w:proofErr w:type="spellEnd"/>
      <w:r w:rsidRPr="005602A7">
        <w:rPr>
          <w:rFonts w:ascii="Garamond" w:hAnsi="Garamond" w:cs="Times New Roman"/>
          <w:lang w:val="en-US"/>
        </w:rPr>
        <w:t xml:space="preserve">, </w:t>
      </w:r>
      <w:r w:rsidR="0011737E" w:rsidRPr="005602A7">
        <w:rPr>
          <w:rFonts w:ascii="Garamond" w:hAnsi="Garamond" w:cs="Times New Roman"/>
          <w:i/>
          <w:iCs/>
          <w:lang w:val="en-US"/>
        </w:rPr>
        <w:t xml:space="preserve">supra </w:t>
      </w:r>
      <w:r w:rsidR="0011737E" w:rsidRPr="005602A7">
        <w:rPr>
          <w:rFonts w:ascii="Garamond" w:hAnsi="Garamond" w:cs="Times New Roman"/>
          <w:lang w:val="en-US"/>
        </w:rPr>
        <w:t xml:space="preserve">note 3; </w:t>
      </w:r>
      <w:r w:rsidRPr="005602A7">
        <w:rPr>
          <w:rFonts w:ascii="Garamond" w:hAnsi="Garamond"/>
        </w:rPr>
        <w:t xml:space="preserve">Armed Activities Case paras 42-45 and 92-105. </w:t>
      </w:r>
    </w:p>
  </w:footnote>
  <w:footnote w:id="159">
    <w:p w14:paraId="1748124E" w14:textId="503844F8" w:rsidR="00375064" w:rsidRPr="005602A7" w:rsidRDefault="00375064"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F71040" w:rsidRPr="005602A7">
        <w:rPr>
          <w:rFonts w:ascii="Garamond" w:hAnsi="Garamond"/>
          <w:smallCaps/>
        </w:rPr>
        <w:t xml:space="preserve">Seyfullah </w:t>
      </w:r>
      <w:proofErr w:type="spellStart"/>
      <w:r w:rsidRPr="005602A7">
        <w:rPr>
          <w:rFonts w:ascii="Garamond" w:hAnsi="Garamond"/>
          <w:smallCaps/>
        </w:rPr>
        <w:t>Hasar</w:t>
      </w:r>
      <w:proofErr w:type="spellEnd"/>
      <w:r w:rsidR="00F71040" w:rsidRPr="005602A7">
        <w:rPr>
          <w:rFonts w:ascii="Garamond" w:hAnsi="Garamond"/>
          <w:smallCaps/>
        </w:rPr>
        <w:t>, State Consent to Foreign Military Intervention during Civil Wars,</w:t>
      </w:r>
      <w:r w:rsidR="00F71040" w:rsidRPr="005602A7">
        <w:rPr>
          <w:rFonts w:ascii="Garamond" w:hAnsi="Garamond"/>
        </w:rPr>
        <w:t xml:space="preserve"> (Brill </w:t>
      </w:r>
      <w:proofErr w:type="spellStart"/>
      <w:r w:rsidR="00F71040" w:rsidRPr="005602A7">
        <w:rPr>
          <w:rFonts w:ascii="Garamond" w:hAnsi="Garamond"/>
        </w:rPr>
        <w:t>Nijhoff</w:t>
      </w:r>
      <w:proofErr w:type="spellEnd"/>
      <w:r w:rsidR="00F71040" w:rsidRPr="005602A7">
        <w:rPr>
          <w:rFonts w:ascii="Garamond" w:hAnsi="Garamond"/>
        </w:rPr>
        <w:t xml:space="preserve"> 2022)</w:t>
      </w:r>
      <w:r w:rsidRPr="005602A7">
        <w:rPr>
          <w:rFonts w:ascii="Garamond" w:hAnsi="Garamond"/>
        </w:rPr>
        <w:t xml:space="preserve"> </w:t>
      </w:r>
      <w:r w:rsidR="00F71040" w:rsidRPr="005602A7">
        <w:rPr>
          <w:rFonts w:ascii="Garamond" w:hAnsi="Garamond"/>
        </w:rPr>
        <w:t xml:space="preserve">at </w:t>
      </w:r>
      <w:r w:rsidRPr="005602A7">
        <w:rPr>
          <w:rFonts w:ascii="Garamond" w:hAnsi="Garamond"/>
        </w:rPr>
        <w:t>p. 61</w:t>
      </w:r>
      <w:r w:rsidR="007740BB" w:rsidRPr="005602A7">
        <w:rPr>
          <w:rFonts w:ascii="Garamond" w:hAnsi="Garamond"/>
        </w:rPr>
        <w:t>.</w:t>
      </w:r>
      <w:r w:rsidR="00F71040" w:rsidRPr="005602A7">
        <w:rPr>
          <w:rFonts w:ascii="Garamond" w:hAnsi="Garamond"/>
        </w:rPr>
        <w:t xml:space="preserve"> </w:t>
      </w:r>
    </w:p>
  </w:footnote>
  <w:footnote w:id="160">
    <w:p w14:paraId="3EB76862" w14:textId="75CC4B27" w:rsidR="00A262A5" w:rsidRPr="005602A7" w:rsidRDefault="00A262A5" w:rsidP="001340AF">
      <w:pPr>
        <w:pStyle w:val="FootnoteText"/>
        <w:jc w:val="both"/>
        <w:rPr>
          <w:rFonts w:ascii="Garamond" w:hAnsi="Garamond" w:cs="Times New Roman"/>
        </w:rPr>
      </w:pPr>
      <w:r w:rsidRPr="005602A7">
        <w:rPr>
          <w:rStyle w:val="FootnoteReference"/>
          <w:rFonts w:ascii="Garamond" w:hAnsi="Garamond" w:cs="Times New Roman"/>
        </w:rPr>
        <w:footnoteRef/>
      </w:r>
      <w:r w:rsidRPr="005602A7">
        <w:rPr>
          <w:rFonts w:ascii="Garamond" w:hAnsi="Garamond" w:cs="Times New Roman"/>
        </w:rPr>
        <w:t xml:space="preserve"> </w:t>
      </w:r>
      <w:r w:rsidR="001928D8" w:rsidRPr="005602A7">
        <w:rPr>
          <w:rFonts w:ascii="Garamond" w:hAnsi="Garamond" w:cs="Times New Roman"/>
        </w:rPr>
        <w:t xml:space="preserve">Louise </w:t>
      </w:r>
      <w:proofErr w:type="spellStart"/>
      <w:r w:rsidR="001928D8" w:rsidRPr="005602A7">
        <w:rPr>
          <w:rFonts w:ascii="Garamond" w:hAnsi="Garamond" w:cs="Times New Roman"/>
          <w:lang w:val="en-US"/>
        </w:rPr>
        <w:t>Doswald</w:t>
      </w:r>
      <w:proofErr w:type="spellEnd"/>
      <w:r w:rsidR="001928D8" w:rsidRPr="005602A7">
        <w:rPr>
          <w:rFonts w:ascii="Garamond" w:hAnsi="Garamond" w:cs="Times New Roman"/>
          <w:lang w:val="en-US"/>
        </w:rPr>
        <w:t xml:space="preserve">-Beck, </w:t>
      </w:r>
      <w:r w:rsidR="001928D8" w:rsidRPr="005602A7">
        <w:rPr>
          <w:rFonts w:ascii="Garamond" w:hAnsi="Garamond" w:cs="Times New Roman"/>
          <w:i/>
          <w:iCs/>
          <w:lang w:val="en-US"/>
        </w:rPr>
        <w:t>The Legal Validity of Military Intervention by Invitation of the Government</w:t>
      </w:r>
      <w:r w:rsidR="001928D8" w:rsidRPr="005602A7">
        <w:rPr>
          <w:rFonts w:ascii="Garamond" w:hAnsi="Garamond" w:cs="Times New Roman"/>
          <w:lang w:val="en-US"/>
        </w:rPr>
        <w:t xml:space="preserve">, 56(1) </w:t>
      </w:r>
      <w:r w:rsidR="001928D8" w:rsidRPr="005602A7">
        <w:rPr>
          <w:rFonts w:ascii="Garamond" w:hAnsi="Garamond" w:cs="Times New Roman"/>
          <w:smallCaps/>
          <w:lang w:val="en-US"/>
        </w:rPr>
        <w:t>British Yearbook of International Law</w:t>
      </w:r>
      <w:r w:rsidR="001928D8" w:rsidRPr="005602A7">
        <w:rPr>
          <w:rFonts w:ascii="Garamond" w:hAnsi="Garamond" w:cs="Times New Roman"/>
          <w:lang w:val="en-US"/>
        </w:rPr>
        <w:t xml:space="preserve"> 189, </w:t>
      </w:r>
      <w:r w:rsidRPr="005602A7">
        <w:rPr>
          <w:rFonts w:ascii="Garamond" w:hAnsi="Garamond" w:cs="Times New Roman"/>
        </w:rPr>
        <w:t>190-191</w:t>
      </w:r>
      <w:r w:rsidR="00CF3B4B" w:rsidRPr="005602A7">
        <w:rPr>
          <w:rFonts w:ascii="Garamond" w:hAnsi="Garamond" w:cs="Times New Roman"/>
        </w:rPr>
        <w:t xml:space="preserve"> </w:t>
      </w:r>
      <w:r w:rsidR="00CF3B4B" w:rsidRPr="005602A7">
        <w:rPr>
          <w:rFonts w:ascii="Garamond" w:hAnsi="Garamond" w:cs="Times New Roman"/>
          <w:lang w:val="en-US"/>
        </w:rPr>
        <w:t>(1985)</w:t>
      </w:r>
      <w:r w:rsidRPr="005602A7">
        <w:rPr>
          <w:rFonts w:ascii="Garamond" w:hAnsi="Garamond" w:cs="Times New Roman"/>
        </w:rPr>
        <w:t xml:space="preserve">; </w:t>
      </w:r>
      <w:r w:rsidR="00492BC1" w:rsidRPr="005602A7">
        <w:rPr>
          <w:rFonts w:ascii="Garamond" w:eastAsia="Times New Roman" w:hAnsi="Garamond" w:cs="Times New Roman"/>
          <w:kern w:val="0"/>
          <w:lang w:val="en-US"/>
          <w14:ligatures w14:val="none"/>
        </w:rPr>
        <w:t xml:space="preserve">Hathaway et al, </w:t>
      </w:r>
      <w:r w:rsidR="00F12B63" w:rsidRPr="005602A7">
        <w:rPr>
          <w:rFonts w:ascii="Garamond" w:eastAsia="Times New Roman" w:hAnsi="Garamond" w:cs="Times New Roman"/>
          <w:kern w:val="0"/>
          <w:lang w:val="en-US"/>
          <w14:ligatures w14:val="none"/>
        </w:rPr>
        <w:t xml:space="preserve"> </w:t>
      </w:r>
      <w:r w:rsidR="00F12B63" w:rsidRPr="005602A7">
        <w:rPr>
          <w:rFonts w:ascii="Garamond" w:eastAsia="Times New Roman" w:hAnsi="Garamond" w:cs="Times New Roman"/>
          <w:i/>
          <w:iCs/>
          <w:kern w:val="0"/>
          <w:lang w:val="en-US"/>
          <w14:ligatures w14:val="none"/>
        </w:rPr>
        <w:t xml:space="preserve">Consent-Based Humanitarian Intervention, </w:t>
      </w:r>
      <w:r w:rsidR="00492BC1" w:rsidRPr="005602A7">
        <w:rPr>
          <w:rFonts w:ascii="Garamond" w:eastAsia="Times New Roman" w:hAnsi="Garamond" w:cs="Times New Roman"/>
          <w:i/>
          <w:iCs/>
          <w:kern w:val="0"/>
          <w:lang w:val="en-US"/>
          <w14:ligatures w14:val="none"/>
        </w:rPr>
        <w:t xml:space="preserve">supra </w:t>
      </w:r>
      <w:r w:rsidR="00492BC1" w:rsidRPr="005602A7">
        <w:rPr>
          <w:rFonts w:ascii="Garamond" w:eastAsia="Times New Roman" w:hAnsi="Garamond" w:cs="Times New Roman"/>
          <w:kern w:val="0"/>
          <w:lang w:val="en-US"/>
          <w14:ligatures w14:val="none"/>
        </w:rPr>
        <w:t xml:space="preserve">note 154 at </w:t>
      </w:r>
      <w:r w:rsidRPr="005602A7">
        <w:rPr>
          <w:rFonts w:ascii="Garamond" w:hAnsi="Garamond" w:cs="Times New Roman"/>
          <w:lang w:val="en-US"/>
        </w:rPr>
        <w:t>540-541.</w:t>
      </w:r>
    </w:p>
  </w:footnote>
  <w:footnote w:id="161">
    <w:p w14:paraId="1D2C3C03" w14:textId="4A020F29"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11737E" w:rsidRPr="005602A7">
        <w:rPr>
          <w:rFonts w:ascii="Garamond" w:hAnsi="Garamond" w:cs="Times New Roman"/>
          <w:smallCaps/>
          <w:lang w:val="en-US"/>
        </w:rPr>
        <w:t>de Wet,</w:t>
      </w:r>
      <w:r w:rsidR="00F12B63" w:rsidRPr="005602A7">
        <w:rPr>
          <w:rFonts w:ascii="Garamond" w:hAnsi="Garamond" w:cs="Times New Roman"/>
          <w:smallCaps/>
          <w:lang w:val="en-US"/>
        </w:rPr>
        <w:t xml:space="preserve"> Military Assistance on Request and the Use of Force</w:t>
      </w:r>
      <w:r w:rsidR="0011737E" w:rsidRPr="005602A7">
        <w:rPr>
          <w:rFonts w:ascii="Garamond" w:hAnsi="Garamond" w:cs="Times New Roman"/>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 </w:t>
      </w:r>
      <w:r w:rsidR="00056518" w:rsidRPr="005602A7">
        <w:rPr>
          <w:rFonts w:ascii="Garamond" w:hAnsi="Garamond" w:cs="Times New Roman"/>
          <w:lang w:val="en-US"/>
        </w:rPr>
        <w:t xml:space="preserve">at </w:t>
      </w:r>
      <w:r w:rsidRPr="005602A7">
        <w:rPr>
          <w:rFonts w:ascii="Garamond" w:hAnsi="Garamond"/>
        </w:rPr>
        <w:t xml:space="preserve">chapter 2; </w:t>
      </w:r>
      <w:proofErr w:type="spellStart"/>
      <w:r w:rsidR="002F7F8D" w:rsidRPr="005602A7">
        <w:rPr>
          <w:rFonts w:ascii="Garamond" w:hAnsi="Garamond" w:cs="Times New Roman"/>
          <w:lang w:val="en-US"/>
        </w:rPr>
        <w:t>Doswald</w:t>
      </w:r>
      <w:proofErr w:type="spellEnd"/>
      <w:r w:rsidR="002F7F8D" w:rsidRPr="005602A7">
        <w:rPr>
          <w:rFonts w:ascii="Garamond" w:hAnsi="Garamond" w:cs="Times New Roman"/>
          <w:lang w:val="en-US"/>
        </w:rPr>
        <w:t xml:space="preserve">-Beck, </w:t>
      </w:r>
      <w:r w:rsidR="00AB56E8" w:rsidRPr="005602A7">
        <w:rPr>
          <w:rFonts w:ascii="Garamond" w:hAnsi="Garamond" w:cs="Times New Roman"/>
          <w:i/>
          <w:iCs/>
          <w:lang w:val="en-US"/>
        </w:rPr>
        <w:t xml:space="preserve">The Legal Validity of Military Intervention by Invitation of the Government, </w:t>
      </w:r>
      <w:r w:rsidR="00492BC1" w:rsidRPr="005602A7">
        <w:rPr>
          <w:rFonts w:ascii="Garamond" w:hAnsi="Garamond" w:cs="Times New Roman"/>
          <w:i/>
          <w:iCs/>
          <w:lang w:val="en-US"/>
        </w:rPr>
        <w:t xml:space="preserve">supra </w:t>
      </w:r>
      <w:r w:rsidR="00492BC1" w:rsidRPr="005602A7">
        <w:rPr>
          <w:rFonts w:ascii="Garamond" w:hAnsi="Garamond" w:cs="Times New Roman"/>
          <w:lang w:val="en-US"/>
        </w:rPr>
        <w:t xml:space="preserve">note 158 </w:t>
      </w:r>
      <w:r w:rsidR="001928D8" w:rsidRPr="005602A7">
        <w:rPr>
          <w:rFonts w:ascii="Garamond" w:hAnsi="Garamond" w:cs="Times New Roman"/>
        </w:rPr>
        <w:t xml:space="preserve">at </w:t>
      </w:r>
      <w:r w:rsidRPr="005602A7">
        <w:rPr>
          <w:rFonts w:ascii="Garamond" w:hAnsi="Garamond"/>
          <w:lang w:val="en-US"/>
        </w:rPr>
        <w:t>192-193.</w:t>
      </w:r>
    </w:p>
  </w:footnote>
  <w:footnote w:id="162">
    <w:p w14:paraId="450712B6" w14:textId="4085A133"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D46F89" w:rsidRPr="005602A7">
        <w:rPr>
          <w:rFonts w:ascii="Garamond" w:hAnsi="Garamond" w:cs="Arial"/>
          <w:shd w:val="clear" w:color="auto" w:fill="FFFFFF"/>
        </w:rPr>
        <w:t>(Great Britain v. Costa Rica) ( 1923 ) 1 R.I.A.A. 369</w:t>
      </w:r>
      <w:r w:rsidR="00484C9C" w:rsidRPr="005602A7">
        <w:rPr>
          <w:rFonts w:ascii="Garamond" w:hAnsi="Garamond" w:cs="Arial"/>
          <w:shd w:val="clear" w:color="auto" w:fill="FFFFFF"/>
        </w:rPr>
        <w:t>, 381</w:t>
      </w:r>
      <w:r w:rsidR="00D46F89" w:rsidRPr="005602A7">
        <w:rPr>
          <w:rFonts w:ascii="Garamond" w:hAnsi="Garamond" w:cs="Arial"/>
          <w:shd w:val="clear" w:color="auto" w:fill="FFFFFF"/>
        </w:rPr>
        <w:t xml:space="preserve">. </w:t>
      </w:r>
    </w:p>
  </w:footnote>
  <w:footnote w:id="163">
    <w:p w14:paraId="7A5C54A9" w14:textId="36E1CC24" w:rsidR="004F4503" w:rsidRPr="005602A7" w:rsidRDefault="004F4503"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Roth</w:t>
      </w:r>
      <w:r w:rsidR="004B043D" w:rsidRPr="005602A7">
        <w:rPr>
          <w:rFonts w:ascii="Garamond" w:hAnsi="Garamond"/>
        </w:rPr>
        <w:t xml:space="preserve">, </w:t>
      </w:r>
      <w:r w:rsidR="004E06CC" w:rsidRPr="005602A7">
        <w:rPr>
          <w:rFonts w:ascii="Garamond" w:hAnsi="Garamond"/>
          <w:i/>
        </w:rPr>
        <w:t xml:space="preserve">Sovereign Equality and "Bounded Pluralism", </w:t>
      </w:r>
      <w:r w:rsidR="004B043D" w:rsidRPr="005602A7">
        <w:rPr>
          <w:rFonts w:ascii="Garamond" w:hAnsi="Garamond"/>
          <w:i/>
          <w:iCs/>
        </w:rPr>
        <w:t>supra</w:t>
      </w:r>
      <w:r w:rsidR="004B043D" w:rsidRPr="005602A7">
        <w:rPr>
          <w:rFonts w:ascii="Garamond" w:hAnsi="Garamond"/>
        </w:rPr>
        <w:t xml:space="preserve"> note 47 at </w:t>
      </w:r>
      <w:r w:rsidR="006E2D11" w:rsidRPr="005602A7">
        <w:rPr>
          <w:rFonts w:ascii="Garamond" w:hAnsi="Garamond"/>
        </w:rPr>
        <w:t>393.</w:t>
      </w:r>
    </w:p>
  </w:footnote>
  <w:footnote w:id="164">
    <w:p w14:paraId="3B659EDE" w14:textId="4C8F09EE"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00D46F89" w:rsidRPr="005602A7">
        <w:rPr>
          <w:rFonts w:ascii="Garamond" w:hAnsi="Garamond" w:cs="Times New Roman"/>
        </w:rPr>
        <w:t xml:space="preserve"> Erika de Wet, The Modern Practice of Intervention by Invitation in Africa and Its Implications for the Prohibition of the Use of Force</w:t>
      </w:r>
      <w:r w:rsidR="00AB56E8" w:rsidRPr="005602A7">
        <w:rPr>
          <w:rFonts w:ascii="Garamond" w:hAnsi="Garamond" w:cs="Times New Roman"/>
        </w:rPr>
        <w:t xml:space="preserve"> </w:t>
      </w:r>
      <w:r w:rsidR="00D46F89" w:rsidRPr="005602A7">
        <w:rPr>
          <w:rFonts w:ascii="Garamond" w:hAnsi="Garamond" w:cs="Times New Roman"/>
        </w:rPr>
        <w:t xml:space="preserve">26(4) </w:t>
      </w:r>
      <w:r w:rsidR="00CF3B4B" w:rsidRPr="005602A7">
        <w:rPr>
          <w:rFonts w:ascii="Garamond" w:hAnsi="Garamond" w:cs="Times New Roman"/>
        </w:rPr>
        <w:t>EJIL</w:t>
      </w:r>
      <w:r w:rsidR="00D46F89" w:rsidRPr="005602A7">
        <w:rPr>
          <w:rFonts w:ascii="Garamond" w:hAnsi="Garamond" w:cs="Times New Roman"/>
        </w:rPr>
        <w:t xml:space="preserve"> 979, </w:t>
      </w:r>
      <w:r w:rsidRPr="005602A7">
        <w:rPr>
          <w:rFonts w:ascii="Garamond" w:hAnsi="Garamond"/>
        </w:rPr>
        <w:t>983-984</w:t>
      </w:r>
      <w:r w:rsidR="00AB56E8" w:rsidRPr="005602A7">
        <w:rPr>
          <w:rFonts w:ascii="Garamond" w:hAnsi="Garamond"/>
        </w:rPr>
        <w:t xml:space="preserve"> (2016)</w:t>
      </w:r>
      <w:r w:rsidRPr="005602A7">
        <w:rPr>
          <w:rFonts w:ascii="Garamond" w:hAnsi="Garamond"/>
        </w:rPr>
        <w:t xml:space="preserve">. </w:t>
      </w:r>
    </w:p>
  </w:footnote>
  <w:footnote w:id="165">
    <w:p w14:paraId="5D36A76B" w14:textId="3D106601" w:rsidR="00A262A5" w:rsidRPr="005602A7" w:rsidRDefault="00A262A5" w:rsidP="001340AF">
      <w:pPr>
        <w:pStyle w:val="FootnoteText"/>
        <w:tabs>
          <w:tab w:val="left" w:pos="142"/>
        </w:tabs>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492BC1" w:rsidRPr="005602A7">
        <w:rPr>
          <w:rFonts w:ascii="Garamond" w:eastAsia="Times New Roman" w:hAnsi="Garamond" w:cs="Times New Roman"/>
          <w:kern w:val="0"/>
          <w:lang w:val="en-US"/>
          <w14:ligatures w14:val="none"/>
        </w:rPr>
        <w:t xml:space="preserve">Hathaway et al, </w:t>
      </w:r>
      <w:r w:rsidR="00F12B63" w:rsidRPr="005602A7">
        <w:rPr>
          <w:rFonts w:ascii="Garamond" w:eastAsia="Times New Roman" w:hAnsi="Garamond" w:cs="Times New Roman"/>
          <w:i/>
          <w:iCs/>
          <w:kern w:val="0"/>
          <w:lang w:val="en-US"/>
          <w14:ligatures w14:val="none"/>
        </w:rPr>
        <w:t xml:space="preserve">Consent-Based Humanitarian Intervention, </w:t>
      </w:r>
      <w:r w:rsidR="00492BC1" w:rsidRPr="005602A7">
        <w:rPr>
          <w:rFonts w:ascii="Garamond" w:eastAsia="Times New Roman" w:hAnsi="Garamond" w:cs="Times New Roman"/>
          <w:i/>
          <w:iCs/>
          <w:kern w:val="0"/>
          <w:lang w:val="en-US"/>
          <w14:ligatures w14:val="none"/>
        </w:rPr>
        <w:t xml:space="preserve">supra </w:t>
      </w:r>
      <w:r w:rsidR="00492BC1" w:rsidRPr="005602A7">
        <w:rPr>
          <w:rFonts w:ascii="Garamond" w:eastAsia="Times New Roman" w:hAnsi="Garamond" w:cs="Times New Roman"/>
          <w:kern w:val="0"/>
          <w:lang w:val="en-US"/>
          <w14:ligatures w14:val="none"/>
        </w:rPr>
        <w:t xml:space="preserve">note 154 at </w:t>
      </w:r>
      <w:r w:rsidRPr="005602A7">
        <w:rPr>
          <w:rFonts w:ascii="Garamond" w:hAnsi="Garamond"/>
        </w:rPr>
        <w:t>544-545; Roth</w:t>
      </w:r>
      <w:r w:rsidR="0067431C" w:rsidRPr="005602A7">
        <w:rPr>
          <w:rFonts w:ascii="Garamond" w:hAnsi="Garamond"/>
        </w:rPr>
        <w:t xml:space="preserve">, </w:t>
      </w:r>
      <w:r w:rsidR="0067431C" w:rsidRPr="005602A7">
        <w:rPr>
          <w:rFonts w:ascii="Garamond" w:hAnsi="Garamond" w:cs="Times New Roman"/>
          <w:i/>
          <w:iCs/>
          <w:lang w:val="en-US"/>
        </w:rPr>
        <w:t xml:space="preserve">Secessions, Coups and the International Rule of Law, </w:t>
      </w:r>
      <w:r w:rsidR="007B0360" w:rsidRPr="005602A7">
        <w:rPr>
          <w:rFonts w:ascii="Garamond" w:hAnsi="Garamond"/>
          <w:i/>
          <w:iCs/>
        </w:rPr>
        <w:t>supra</w:t>
      </w:r>
      <w:r w:rsidR="007B0360" w:rsidRPr="005602A7">
        <w:rPr>
          <w:rFonts w:ascii="Garamond" w:hAnsi="Garamond"/>
        </w:rPr>
        <w:t xml:space="preserve"> note 136 at </w:t>
      </w:r>
      <w:r w:rsidR="005602A7" w:rsidRPr="005602A7">
        <w:rPr>
          <w:rFonts w:ascii="Garamond" w:hAnsi="Garamond"/>
        </w:rPr>
        <w:t>396</w:t>
      </w:r>
      <w:r w:rsidRPr="005602A7">
        <w:rPr>
          <w:rFonts w:ascii="Garamond" w:hAnsi="Garamond"/>
        </w:rPr>
        <w:t xml:space="preserve">. </w:t>
      </w:r>
    </w:p>
  </w:footnote>
  <w:footnote w:id="166">
    <w:p w14:paraId="14C19761" w14:textId="1799E3EC"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2F7F8D" w:rsidRPr="005602A7">
        <w:rPr>
          <w:rFonts w:ascii="Garamond" w:hAnsi="Garamond" w:cs="Arial"/>
          <w:shd w:val="clear" w:color="auto" w:fill="FFFFFF"/>
        </w:rPr>
        <w:t>(Great Britain v. Costa Rica) ( 1923 ) 1 R.I.A.A. 369, 381</w:t>
      </w:r>
      <w:r w:rsidR="0039593C" w:rsidRPr="005602A7">
        <w:rPr>
          <w:rFonts w:ascii="Garamond" w:hAnsi="Garamond" w:cs="Arial"/>
          <w:shd w:val="clear" w:color="auto" w:fill="FFFFFF"/>
        </w:rPr>
        <w:t>.</w:t>
      </w:r>
    </w:p>
  </w:footnote>
  <w:footnote w:id="167">
    <w:p w14:paraId="61D9201B" w14:textId="207B1DF4"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39593C" w:rsidRPr="005602A7">
        <w:rPr>
          <w:rFonts w:ascii="Garamond" w:hAnsi="Garamond"/>
        </w:rPr>
        <w:t xml:space="preserve">Roth </w:t>
      </w:r>
      <w:r w:rsidR="0067431C" w:rsidRPr="005602A7">
        <w:rPr>
          <w:rFonts w:ascii="Garamond" w:hAnsi="Garamond" w:cs="Times New Roman"/>
          <w:i/>
          <w:iCs/>
          <w:lang w:val="en-US"/>
        </w:rPr>
        <w:t xml:space="preserve">Secessions, Coups and the International Rule of Law, </w:t>
      </w:r>
      <w:r w:rsidR="0067431C" w:rsidRPr="005602A7">
        <w:rPr>
          <w:rFonts w:ascii="Garamond" w:hAnsi="Garamond"/>
          <w:i/>
          <w:iCs/>
        </w:rPr>
        <w:t>supra</w:t>
      </w:r>
      <w:r w:rsidR="0067431C" w:rsidRPr="005602A7">
        <w:rPr>
          <w:rFonts w:ascii="Garamond" w:hAnsi="Garamond"/>
        </w:rPr>
        <w:t xml:space="preserve"> </w:t>
      </w:r>
      <w:r w:rsidR="007B0360" w:rsidRPr="005602A7">
        <w:rPr>
          <w:rFonts w:ascii="Garamond" w:hAnsi="Garamond"/>
        </w:rPr>
        <w:t>note 136</w:t>
      </w:r>
      <w:r w:rsidR="005602A7" w:rsidRPr="005602A7">
        <w:rPr>
          <w:rFonts w:ascii="Garamond" w:hAnsi="Garamond"/>
        </w:rPr>
        <w:t xml:space="preserve"> at 427</w:t>
      </w:r>
      <w:r w:rsidR="0039593C" w:rsidRPr="005602A7">
        <w:rPr>
          <w:rFonts w:ascii="Garamond" w:hAnsi="Garamond"/>
        </w:rPr>
        <w:t>.</w:t>
      </w:r>
    </w:p>
  </w:footnote>
  <w:footnote w:id="168">
    <w:p w14:paraId="61B18AAB" w14:textId="05C9872A"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39593C" w:rsidRPr="005602A7">
        <w:rPr>
          <w:rFonts w:ascii="Garamond" w:hAnsi="Garamond"/>
        </w:rPr>
        <w:t xml:space="preserve">Chiara Redaelli, </w:t>
      </w:r>
      <w:r w:rsidR="0039593C" w:rsidRPr="005602A7">
        <w:rPr>
          <w:rFonts w:ascii="Garamond" w:hAnsi="Garamond"/>
          <w:i/>
          <w:iCs/>
        </w:rPr>
        <w:t>Military Intervention on Request in Jus ad Bellum and Jus in Bello and the Question of Recognition of Governments,</w:t>
      </w:r>
      <w:r w:rsidR="00CF3B4B" w:rsidRPr="005602A7">
        <w:rPr>
          <w:rFonts w:ascii="Garamond" w:hAnsi="Garamond"/>
        </w:rPr>
        <w:t xml:space="preserve"> 12</w:t>
      </w:r>
      <w:r w:rsidR="00210C7A" w:rsidRPr="005602A7">
        <w:rPr>
          <w:rFonts w:ascii="Garamond" w:hAnsi="Garamond"/>
          <w:i/>
          <w:iCs/>
        </w:rPr>
        <w:t xml:space="preserve"> </w:t>
      </w:r>
      <w:r w:rsidR="00210C7A" w:rsidRPr="005602A7">
        <w:rPr>
          <w:rFonts w:ascii="Garamond" w:hAnsi="Garamond"/>
          <w:smallCaps/>
        </w:rPr>
        <w:t>Goettingen Journal of International Law</w:t>
      </w:r>
      <w:r w:rsidR="00210C7A" w:rsidRPr="005602A7">
        <w:rPr>
          <w:rFonts w:ascii="Garamond" w:hAnsi="Garamond"/>
        </w:rPr>
        <w:t xml:space="preserve"> 1, 105</w:t>
      </w:r>
      <w:r w:rsidR="0039593C" w:rsidRPr="005602A7">
        <w:rPr>
          <w:rFonts w:ascii="Garamond" w:hAnsi="Garamond"/>
        </w:rPr>
        <w:t xml:space="preserve"> at </w:t>
      </w:r>
      <w:r w:rsidRPr="005602A7">
        <w:rPr>
          <w:rFonts w:ascii="Garamond" w:hAnsi="Garamond"/>
        </w:rPr>
        <w:t>115</w:t>
      </w:r>
      <w:r w:rsidR="00210C7A" w:rsidRPr="005602A7">
        <w:rPr>
          <w:rFonts w:ascii="Garamond" w:hAnsi="Garamond"/>
        </w:rPr>
        <w:t xml:space="preserve"> </w:t>
      </w:r>
      <w:r w:rsidR="00CF3B4B" w:rsidRPr="005602A7">
        <w:rPr>
          <w:rFonts w:ascii="Garamond" w:hAnsi="Garamond"/>
        </w:rPr>
        <w:t>(2022)</w:t>
      </w:r>
      <w:r w:rsidR="0039593C" w:rsidRPr="005602A7">
        <w:rPr>
          <w:rFonts w:ascii="Garamond" w:hAnsi="Garamond"/>
        </w:rPr>
        <w:t xml:space="preserve">. </w:t>
      </w:r>
    </w:p>
  </w:footnote>
  <w:footnote w:id="169">
    <w:p w14:paraId="1C74FA4A" w14:textId="4F3C6458"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492BC1" w:rsidRPr="005602A7">
        <w:rPr>
          <w:rFonts w:ascii="Garamond" w:eastAsia="Times New Roman" w:hAnsi="Garamond" w:cs="Times New Roman"/>
          <w:kern w:val="0"/>
          <w:lang w:val="en-US"/>
          <w14:ligatures w14:val="none"/>
        </w:rPr>
        <w:t xml:space="preserve">Hathaway et al, </w:t>
      </w:r>
      <w:r w:rsidR="00F12B63" w:rsidRPr="005602A7">
        <w:rPr>
          <w:rFonts w:ascii="Garamond" w:eastAsia="Times New Roman" w:hAnsi="Garamond" w:cs="Times New Roman"/>
          <w:i/>
          <w:iCs/>
          <w:kern w:val="0"/>
          <w:lang w:val="en-US"/>
          <w14:ligatures w14:val="none"/>
        </w:rPr>
        <w:t xml:space="preserve">Consent-Based Humanitarian Intervention, </w:t>
      </w:r>
      <w:r w:rsidR="00492BC1" w:rsidRPr="005602A7">
        <w:rPr>
          <w:rFonts w:ascii="Garamond" w:eastAsia="Times New Roman" w:hAnsi="Garamond" w:cs="Times New Roman"/>
          <w:i/>
          <w:iCs/>
          <w:kern w:val="0"/>
          <w:lang w:val="en-US"/>
          <w14:ligatures w14:val="none"/>
        </w:rPr>
        <w:t xml:space="preserve">supra </w:t>
      </w:r>
      <w:r w:rsidR="00492BC1" w:rsidRPr="005602A7">
        <w:rPr>
          <w:rFonts w:ascii="Garamond" w:eastAsia="Times New Roman" w:hAnsi="Garamond" w:cs="Times New Roman"/>
          <w:kern w:val="0"/>
          <w:lang w:val="en-US"/>
          <w14:ligatures w14:val="none"/>
        </w:rPr>
        <w:t>note 154 at</w:t>
      </w:r>
      <w:r w:rsidRPr="005602A7">
        <w:rPr>
          <w:rFonts w:ascii="Garamond" w:hAnsi="Garamond"/>
          <w:lang w:val="en-US"/>
        </w:rPr>
        <w:t xml:space="preserve"> 545</w:t>
      </w:r>
      <w:r w:rsidR="00056518" w:rsidRPr="005602A7">
        <w:rPr>
          <w:rFonts w:ascii="Garamond" w:hAnsi="Garamond"/>
          <w:lang w:val="en-US"/>
        </w:rPr>
        <w:t xml:space="preserve">; </w:t>
      </w:r>
      <w:r w:rsidR="0011737E" w:rsidRPr="005602A7">
        <w:rPr>
          <w:rFonts w:ascii="Garamond" w:hAnsi="Garamond" w:cs="Times New Roman"/>
          <w:smallCaps/>
          <w:lang w:val="en-US"/>
        </w:rPr>
        <w:t>de Wet,</w:t>
      </w:r>
      <w:r w:rsidR="0011737E" w:rsidRPr="005602A7">
        <w:rPr>
          <w:rFonts w:ascii="Garamond" w:hAnsi="Garamond" w:cs="Times New Roman"/>
          <w:lang w:val="en-US"/>
        </w:rPr>
        <w:t xml:space="preserve"> </w:t>
      </w:r>
      <w:r w:rsidR="00F12B63" w:rsidRPr="005602A7">
        <w:rPr>
          <w:rFonts w:ascii="Garamond" w:hAnsi="Garamond" w:cs="Times New Roman"/>
          <w:smallCaps/>
          <w:lang w:val="en-US"/>
        </w:rPr>
        <w:t>Military Assistance on Request and the Use of Force</w:t>
      </w:r>
      <w:r w:rsidR="00F12B63" w:rsidRPr="005602A7">
        <w:rPr>
          <w:rFonts w:ascii="Garamond" w:hAnsi="Garamond" w:cs="Times New Roman"/>
          <w:i/>
          <w:iCs/>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 </w:t>
      </w:r>
      <w:r w:rsidR="00056518" w:rsidRPr="005602A7">
        <w:rPr>
          <w:rFonts w:ascii="Garamond" w:hAnsi="Garamond" w:cs="Times New Roman"/>
          <w:lang w:val="en-US"/>
        </w:rPr>
        <w:t>at chapter 2.</w:t>
      </w:r>
    </w:p>
  </w:footnote>
  <w:footnote w:id="170">
    <w:p w14:paraId="4EB2A9B2" w14:textId="54A52C91"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210C7A" w:rsidRPr="005602A7">
        <w:rPr>
          <w:rFonts w:ascii="Garamond" w:hAnsi="Garamond"/>
        </w:rPr>
        <w:t xml:space="preserve">Timeline: A history of ECOWAS military interventions in three decades, Al Jazeera (Aug 1, 2023) </w:t>
      </w:r>
      <w:hyperlink r:id="rId2" w:history="1">
        <w:r w:rsidR="00210C7A" w:rsidRPr="005602A7">
          <w:rPr>
            <w:rStyle w:val="Hyperlink"/>
            <w:rFonts w:ascii="Garamond" w:hAnsi="Garamond"/>
            <w:color w:val="auto"/>
          </w:rPr>
          <w:t>https://www.aljazeera.com/news/2023/8/1/timeline-a-history-of-ecowas-military-interventions-in-three-decades</w:t>
        </w:r>
      </w:hyperlink>
      <w:r w:rsidR="00E47EFA" w:rsidRPr="005602A7">
        <w:rPr>
          <w:rStyle w:val="Hyperlink"/>
          <w:rFonts w:ascii="Garamond" w:hAnsi="Garamond"/>
          <w:color w:val="auto"/>
        </w:rPr>
        <w:t xml:space="preserve">; </w:t>
      </w:r>
      <w:r w:rsidR="002F7F8D" w:rsidRPr="005602A7">
        <w:rPr>
          <w:rFonts w:ascii="Garamond" w:hAnsi="Garamond"/>
        </w:rPr>
        <w:t xml:space="preserve">Redaelli, </w:t>
      </w:r>
      <w:r w:rsidR="00F12B63" w:rsidRPr="005602A7">
        <w:rPr>
          <w:rFonts w:ascii="Garamond" w:hAnsi="Garamond"/>
          <w:i/>
          <w:iCs/>
        </w:rPr>
        <w:t xml:space="preserve">Military Intervention on Request in Jus ad Bellum and Jus in Bello </w:t>
      </w:r>
      <w:r w:rsidR="007B0360" w:rsidRPr="005602A7">
        <w:rPr>
          <w:rFonts w:ascii="Garamond" w:hAnsi="Garamond"/>
          <w:i/>
          <w:iCs/>
        </w:rPr>
        <w:t xml:space="preserve">supra </w:t>
      </w:r>
      <w:r w:rsidR="007B0360" w:rsidRPr="005602A7">
        <w:rPr>
          <w:rFonts w:ascii="Garamond" w:hAnsi="Garamond"/>
        </w:rPr>
        <w:t xml:space="preserve">note 167 </w:t>
      </w:r>
      <w:r w:rsidR="00E47EFA" w:rsidRPr="005602A7">
        <w:rPr>
          <w:rFonts w:ascii="Garamond" w:hAnsi="Garamond"/>
        </w:rPr>
        <w:t>at 119.</w:t>
      </w:r>
    </w:p>
  </w:footnote>
  <w:footnote w:id="171">
    <w:p w14:paraId="3724F013" w14:textId="5FAB9442"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2F7F8D" w:rsidRPr="005602A7">
        <w:rPr>
          <w:rFonts w:ascii="Garamond" w:hAnsi="Garamond"/>
        </w:rPr>
        <w:t xml:space="preserve">Redaelli, </w:t>
      </w:r>
      <w:r w:rsidR="00F12B63" w:rsidRPr="005602A7">
        <w:rPr>
          <w:rFonts w:ascii="Garamond" w:hAnsi="Garamond"/>
          <w:i/>
          <w:iCs/>
        </w:rPr>
        <w:t xml:space="preserve">Military Intervention on Request in Jus ad Bellum and Jus in Bello </w:t>
      </w:r>
      <w:r w:rsidR="007B0360" w:rsidRPr="005602A7">
        <w:rPr>
          <w:rFonts w:ascii="Garamond" w:hAnsi="Garamond"/>
          <w:i/>
          <w:iCs/>
        </w:rPr>
        <w:t xml:space="preserve">supra </w:t>
      </w:r>
      <w:r w:rsidR="007B0360" w:rsidRPr="005602A7">
        <w:rPr>
          <w:rFonts w:ascii="Garamond" w:hAnsi="Garamond"/>
        </w:rPr>
        <w:t xml:space="preserve">note 167 </w:t>
      </w:r>
      <w:r w:rsidR="00031292" w:rsidRPr="005602A7">
        <w:rPr>
          <w:rFonts w:ascii="Garamond" w:hAnsi="Garamond"/>
        </w:rPr>
        <w:t>at 119</w:t>
      </w:r>
      <w:r w:rsidR="006D0A98" w:rsidRPr="005602A7">
        <w:rPr>
          <w:rFonts w:ascii="Garamond" w:hAnsi="Garamond"/>
        </w:rPr>
        <w:t>-120</w:t>
      </w:r>
      <w:r w:rsidR="00031292" w:rsidRPr="005602A7">
        <w:rPr>
          <w:rFonts w:ascii="Garamond" w:hAnsi="Garamond"/>
        </w:rPr>
        <w:t>.</w:t>
      </w:r>
    </w:p>
  </w:footnote>
  <w:footnote w:id="172">
    <w:p w14:paraId="76457AA8" w14:textId="668F5B1B" w:rsidR="00BB3B8F" w:rsidRPr="005602A7" w:rsidRDefault="00BB3B8F"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069B6" w:rsidRPr="005602A7">
        <w:rPr>
          <w:rFonts w:ascii="Garamond" w:hAnsi="Garamond"/>
          <w:lang w:val="en-US"/>
        </w:rPr>
        <w:t>Oona A Hathaway and Justin Cole, Recognition Rules: The Case for a New International Law of Government Recognition</w:t>
      </w:r>
      <w:r w:rsidRPr="005602A7">
        <w:rPr>
          <w:rFonts w:ascii="Garamond" w:hAnsi="Garamond"/>
          <w:lang w:val="en-US"/>
        </w:rPr>
        <w:t xml:space="preserve">, </w:t>
      </w:r>
      <w:r w:rsidR="00E069B6" w:rsidRPr="005602A7">
        <w:rPr>
          <w:rFonts w:ascii="Garamond" w:hAnsi="Garamond"/>
          <w:lang w:val="en-US"/>
        </w:rPr>
        <w:t>33 available at https://papers.ssrn.com/sol3/papers.cfm?abstract_id=5039867 (Dec 17, 2024).</w:t>
      </w:r>
    </w:p>
  </w:footnote>
  <w:footnote w:id="173">
    <w:p w14:paraId="1F1ADDA6" w14:textId="0F0658A5" w:rsidR="00A262A5" w:rsidRPr="005602A7" w:rsidRDefault="00A262A5"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r w:rsidR="0011737E" w:rsidRPr="005602A7">
        <w:rPr>
          <w:rFonts w:ascii="Garamond" w:hAnsi="Garamond" w:cs="Times New Roman"/>
          <w:smallCaps/>
          <w:lang w:val="en-US"/>
        </w:rPr>
        <w:t>de Wet,</w:t>
      </w:r>
      <w:r w:rsidR="0011737E" w:rsidRPr="005602A7">
        <w:rPr>
          <w:rFonts w:ascii="Garamond" w:hAnsi="Garamond" w:cs="Times New Roman"/>
          <w:lang w:val="en-US"/>
        </w:rPr>
        <w:t xml:space="preserve"> </w:t>
      </w:r>
      <w:r w:rsidR="00F12B63" w:rsidRPr="005602A7">
        <w:rPr>
          <w:rFonts w:ascii="Garamond" w:hAnsi="Garamond" w:cs="Times New Roman"/>
          <w:smallCaps/>
          <w:lang w:val="en-US"/>
        </w:rPr>
        <w:t>Military Assistance on Request and the Use of Force</w:t>
      </w:r>
      <w:r w:rsidR="00F12B63" w:rsidRPr="005602A7">
        <w:rPr>
          <w:rFonts w:ascii="Garamond" w:hAnsi="Garamond" w:cs="Times New Roman"/>
          <w:i/>
          <w:iCs/>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 at</w:t>
      </w:r>
      <w:r w:rsidR="00D46F89" w:rsidRPr="005602A7">
        <w:rPr>
          <w:rFonts w:ascii="Garamond" w:hAnsi="Garamond" w:cs="Times New Roman"/>
          <w:lang w:val="en-US"/>
        </w:rPr>
        <w:t xml:space="preserve"> </w:t>
      </w:r>
      <w:r w:rsidRPr="005602A7">
        <w:rPr>
          <w:rFonts w:ascii="Garamond" w:hAnsi="Garamond" w:cs="Times New Roman"/>
          <w:lang w:val="en-US"/>
        </w:rPr>
        <w:t>Chapter 2.</w:t>
      </w:r>
    </w:p>
  </w:footnote>
  <w:footnote w:id="174">
    <w:p w14:paraId="64B5ED7D" w14:textId="0ADAE5C8"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2F7F8D" w:rsidRPr="005602A7">
        <w:rPr>
          <w:rFonts w:ascii="Garamond" w:hAnsi="Garamond"/>
          <w:smallCaps/>
        </w:rPr>
        <w:t>Hasar</w:t>
      </w:r>
      <w:proofErr w:type="spellEnd"/>
      <w:r w:rsidR="002F7F8D" w:rsidRPr="005602A7">
        <w:rPr>
          <w:rFonts w:ascii="Garamond" w:hAnsi="Garamond"/>
          <w:smallCaps/>
        </w:rPr>
        <w:t xml:space="preserve">, </w:t>
      </w:r>
      <w:r w:rsidR="00F12B63" w:rsidRPr="005602A7">
        <w:rPr>
          <w:rFonts w:ascii="Garamond" w:hAnsi="Garamond"/>
          <w:smallCaps/>
        </w:rPr>
        <w:t>State Consent to Foreign Military Intervention during Civil Wars</w:t>
      </w:r>
      <w:r w:rsidR="00F12B63" w:rsidRPr="005602A7">
        <w:rPr>
          <w:rFonts w:ascii="Garamond" w:hAnsi="Garamond"/>
          <w:i/>
          <w:iCs/>
        </w:rPr>
        <w:t xml:space="preserve">, </w:t>
      </w:r>
      <w:r w:rsidR="004B043D" w:rsidRPr="005602A7">
        <w:rPr>
          <w:rFonts w:ascii="Garamond" w:hAnsi="Garamond"/>
          <w:i/>
          <w:iCs/>
        </w:rPr>
        <w:t>supra</w:t>
      </w:r>
      <w:r w:rsidR="004B043D" w:rsidRPr="005602A7">
        <w:rPr>
          <w:rFonts w:ascii="Garamond" w:hAnsi="Garamond"/>
          <w:smallCaps/>
        </w:rPr>
        <w:t xml:space="preserve"> </w:t>
      </w:r>
      <w:r w:rsidR="004B043D" w:rsidRPr="005602A7">
        <w:rPr>
          <w:rFonts w:ascii="Garamond" w:hAnsi="Garamond"/>
        </w:rPr>
        <w:t xml:space="preserve">note 158 at </w:t>
      </w:r>
      <w:r w:rsidRPr="005602A7">
        <w:rPr>
          <w:rFonts w:ascii="Garamond" w:hAnsi="Garamond"/>
        </w:rPr>
        <w:t>79</w:t>
      </w:r>
      <w:r w:rsidR="004B043D" w:rsidRPr="005602A7">
        <w:rPr>
          <w:rFonts w:ascii="Garamond" w:hAnsi="Garamond"/>
        </w:rPr>
        <w:t>.</w:t>
      </w:r>
      <w:r w:rsidRPr="005602A7">
        <w:rPr>
          <w:rFonts w:ascii="Garamond" w:hAnsi="Garamond"/>
        </w:rPr>
        <w:t xml:space="preserve"> </w:t>
      </w:r>
    </w:p>
  </w:footnote>
  <w:footnote w:id="175">
    <w:p w14:paraId="0DFAE0AC" w14:textId="72CA0073" w:rsidR="00BB3B8F" w:rsidRPr="005602A7" w:rsidRDefault="00BB3B8F"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See, ‘Central African Republic’s Bozize in US-France appeal’ (Dec. 27, 2012) BBC, available at: </w:t>
      </w:r>
      <w:hyperlink r:id="rId3" w:history="1">
        <w:r w:rsidRPr="005602A7">
          <w:rPr>
            <w:rStyle w:val="Hyperlink"/>
            <w:rFonts w:ascii="Garamond" w:hAnsi="Garamond"/>
            <w:color w:val="auto"/>
          </w:rPr>
          <w:t>https://www.bbc.com/news/world-africa-20845887</w:t>
        </w:r>
      </w:hyperlink>
      <w:r w:rsidRPr="005602A7">
        <w:rPr>
          <w:rFonts w:ascii="Garamond" w:hAnsi="Garamond"/>
        </w:rPr>
        <w:t xml:space="preserve">; ‘France: Why intervene in Mali and not Central African Republic’ Amit Singh, The Guardian, available at: </w:t>
      </w:r>
      <w:hyperlink r:id="rId4" w:history="1">
        <w:r w:rsidRPr="005602A7">
          <w:rPr>
            <w:rStyle w:val="Hyperlink"/>
            <w:rFonts w:ascii="Garamond" w:hAnsi="Garamond"/>
          </w:rPr>
          <w:t>https://www.theguardian.com/world/2013/feb/05/france-centralafrican-republic-mali-intervention</w:t>
        </w:r>
      </w:hyperlink>
      <w:r w:rsidRPr="005602A7">
        <w:rPr>
          <w:rFonts w:ascii="Garamond" w:hAnsi="Garamond"/>
        </w:rPr>
        <w:t xml:space="preserve">; Vincent </w:t>
      </w:r>
      <w:proofErr w:type="spellStart"/>
      <w:r w:rsidRPr="005602A7">
        <w:rPr>
          <w:rFonts w:ascii="Garamond" w:hAnsi="Garamond"/>
        </w:rPr>
        <w:t>Darracq</w:t>
      </w:r>
      <w:proofErr w:type="spellEnd"/>
      <w:r w:rsidRPr="005602A7">
        <w:rPr>
          <w:rFonts w:ascii="Garamond" w:hAnsi="Garamond"/>
        </w:rPr>
        <w:t xml:space="preserve">, France in Central Africa: The reluctant interventionist, Al-Jazeera, </w:t>
      </w:r>
      <w:hyperlink r:id="rId5" w:history="1">
        <w:r w:rsidRPr="005602A7">
          <w:rPr>
            <w:rStyle w:val="Hyperlink"/>
            <w:rFonts w:ascii="Garamond" w:hAnsi="Garamond"/>
            <w:color w:val="auto"/>
          </w:rPr>
          <w:t>https://www.aljazeera.com/opinions/2014/2/11/france-in-central-africa-the-reluctant-interventionist</w:t>
        </w:r>
      </w:hyperlink>
      <w:r w:rsidRPr="005602A7">
        <w:rPr>
          <w:rStyle w:val="Hyperlink"/>
          <w:rFonts w:ascii="Garamond" w:hAnsi="Garamond"/>
          <w:color w:val="auto"/>
        </w:rPr>
        <w:t>.</w:t>
      </w:r>
    </w:p>
  </w:footnote>
  <w:footnote w:id="176">
    <w:p w14:paraId="3264B97D" w14:textId="1763CD57"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2F7F8D" w:rsidRPr="005602A7">
        <w:rPr>
          <w:rFonts w:ascii="Garamond" w:hAnsi="Garamond"/>
          <w:lang w:val="en-US"/>
        </w:rPr>
        <w:t>Nolte,</w:t>
      </w:r>
      <w:r w:rsidR="007868F9" w:rsidRPr="005602A7">
        <w:rPr>
          <w:rFonts w:ascii="Garamond" w:hAnsi="Garamond"/>
          <w:lang w:val="en-US"/>
        </w:rPr>
        <w:t xml:space="preserve"> Intervention by Invitation,</w:t>
      </w:r>
      <w:r w:rsidR="002F7F8D" w:rsidRPr="005602A7">
        <w:rPr>
          <w:rFonts w:ascii="Garamond" w:hAnsi="Garamond"/>
          <w:lang w:val="en-US"/>
        </w:rPr>
        <w:t xml:space="preserve"> </w:t>
      </w:r>
      <w:r w:rsidR="00492BC1" w:rsidRPr="005602A7">
        <w:rPr>
          <w:rFonts w:ascii="Garamond" w:hAnsi="Garamond"/>
          <w:i/>
          <w:iCs/>
          <w:lang w:val="en-US"/>
        </w:rPr>
        <w:t>supra</w:t>
      </w:r>
      <w:r w:rsidR="00492BC1" w:rsidRPr="005602A7">
        <w:rPr>
          <w:rFonts w:ascii="Garamond" w:hAnsi="Garamond"/>
          <w:lang w:val="en-US"/>
        </w:rPr>
        <w:t xml:space="preserve"> note 154; </w:t>
      </w:r>
      <w:r w:rsidR="00210C7A" w:rsidRPr="005602A7">
        <w:rPr>
          <w:rFonts w:ascii="Garamond" w:hAnsi="Garamond"/>
        </w:rPr>
        <w:t xml:space="preserve">Seyfullah </w:t>
      </w:r>
      <w:proofErr w:type="spellStart"/>
      <w:r w:rsidR="00210C7A" w:rsidRPr="005602A7">
        <w:rPr>
          <w:rFonts w:ascii="Garamond" w:hAnsi="Garamond"/>
        </w:rPr>
        <w:t>Hasar</w:t>
      </w:r>
      <w:proofErr w:type="spellEnd"/>
      <w:r w:rsidR="00210C7A" w:rsidRPr="005602A7">
        <w:rPr>
          <w:rFonts w:ascii="Garamond" w:hAnsi="Garamond"/>
        </w:rPr>
        <w:t xml:space="preserve">, </w:t>
      </w:r>
      <w:r w:rsidR="00210C7A" w:rsidRPr="005602A7">
        <w:rPr>
          <w:rFonts w:ascii="Garamond" w:hAnsi="Garamond"/>
          <w:i/>
          <w:iCs/>
        </w:rPr>
        <w:t>Kazakhstan: Another Intervention by Invitation that Played Out as Expected,</w:t>
      </w:r>
      <w:r w:rsidR="00210C7A" w:rsidRPr="005602A7">
        <w:rPr>
          <w:rFonts w:ascii="Garamond" w:hAnsi="Garamond"/>
        </w:rPr>
        <w:t xml:space="preserve"> </w:t>
      </w:r>
      <w:proofErr w:type="spellStart"/>
      <w:r w:rsidR="00BD0616" w:rsidRPr="005602A7">
        <w:rPr>
          <w:rFonts w:ascii="Garamond" w:hAnsi="Garamond"/>
          <w:smallCaps/>
        </w:rPr>
        <w:t>Opinio</w:t>
      </w:r>
      <w:proofErr w:type="spellEnd"/>
      <w:r w:rsidR="00BD0616" w:rsidRPr="005602A7">
        <w:rPr>
          <w:rFonts w:ascii="Garamond" w:hAnsi="Garamond"/>
          <w:smallCaps/>
        </w:rPr>
        <w:t xml:space="preserve"> Juris</w:t>
      </w:r>
      <w:r w:rsidR="00BD0616" w:rsidRPr="005602A7">
        <w:rPr>
          <w:rFonts w:ascii="Garamond" w:hAnsi="Garamond"/>
        </w:rPr>
        <w:t xml:space="preserve">, </w:t>
      </w:r>
      <w:r w:rsidR="00CF3B4B" w:rsidRPr="005602A7">
        <w:rPr>
          <w:rFonts w:ascii="Garamond" w:hAnsi="Garamond"/>
        </w:rPr>
        <w:t>(</w:t>
      </w:r>
      <w:r w:rsidR="00BD0616" w:rsidRPr="005602A7">
        <w:rPr>
          <w:rFonts w:ascii="Garamond" w:hAnsi="Garamond"/>
        </w:rPr>
        <w:t xml:space="preserve">2022) available at: https://opiniojuris.org/2022/02/07/kazakhstan-another-intervention-by-invitation-that-played-out-as-expected/#:~:text=Such%20military%20interventions%20by%20invitation,Development%20Community%20and%20Rwanda%20in. </w:t>
      </w:r>
    </w:p>
  </w:footnote>
  <w:footnote w:id="177">
    <w:p w14:paraId="5D2CCB86" w14:textId="2BCD6967"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11737E" w:rsidRPr="005602A7">
        <w:rPr>
          <w:rFonts w:ascii="Garamond" w:hAnsi="Garamond" w:cs="Times New Roman"/>
          <w:smallCaps/>
          <w:lang w:val="en-US"/>
        </w:rPr>
        <w:t>de Wet,</w:t>
      </w:r>
      <w:r w:rsidR="0011737E" w:rsidRPr="005602A7">
        <w:rPr>
          <w:rFonts w:ascii="Garamond" w:hAnsi="Garamond" w:cs="Times New Roman"/>
          <w:lang w:val="en-US"/>
        </w:rPr>
        <w:t xml:space="preserve"> </w:t>
      </w:r>
      <w:r w:rsidR="00F12B63" w:rsidRPr="005602A7">
        <w:rPr>
          <w:rFonts w:ascii="Garamond" w:hAnsi="Garamond" w:cs="Times New Roman"/>
          <w:smallCaps/>
          <w:lang w:val="en-US"/>
        </w:rPr>
        <w:t>Military Assistance on Request and the Use of Force</w:t>
      </w:r>
      <w:r w:rsidR="00F12B63" w:rsidRPr="005602A7">
        <w:rPr>
          <w:rFonts w:ascii="Garamond" w:hAnsi="Garamond" w:cs="Times New Roman"/>
          <w:i/>
          <w:iCs/>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w:t>
      </w:r>
      <w:r w:rsidR="00056518" w:rsidRPr="005602A7">
        <w:rPr>
          <w:rFonts w:ascii="Garamond" w:hAnsi="Garamond" w:cs="Times New Roman"/>
        </w:rPr>
        <w:t xml:space="preserve">. </w:t>
      </w:r>
    </w:p>
  </w:footnote>
  <w:footnote w:id="178">
    <w:p w14:paraId="1A88A8BA" w14:textId="69DA1DDD"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4B043D" w:rsidRPr="005602A7">
        <w:rPr>
          <w:rFonts w:ascii="Garamond" w:hAnsi="Garamond"/>
        </w:rPr>
        <w:t>Hasar</w:t>
      </w:r>
      <w:proofErr w:type="spellEnd"/>
      <w:r w:rsidR="004B043D" w:rsidRPr="005602A7">
        <w:rPr>
          <w:rFonts w:ascii="Garamond" w:hAnsi="Garamond"/>
        </w:rPr>
        <w:t>,</w:t>
      </w:r>
      <w:r w:rsidR="00F12B63" w:rsidRPr="005602A7">
        <w:rPr>
          <w:rFonts w:ascii="Garamond" w:hAnsi="Garamond"/>
        </w:rPr>
        <w:t xml:space="preserve"> </w:t>
      </w:r>
      <w:r w:rsidR="00F12B63" w:rsidRPr="005602A7">
        <w:rPr>
          <w:rFonts w:ascii="Garamond" w:hAnsi="Garamond"/>
          <w:i/>
          <w:iCs/>
        </w:rPr>
        <w:t>Kazakhstan: Another Intervention by Invitation that Played Out as Expected,</w:t>
      </w:r>
      <w:r w:rsidR="004B043D" w:rsidRPr="005602A7">
        <w:rPr>
          <w:rFonts w:ascii="Garamond" w:hAnsi="Garamond"/>
        </w:rPr>
        <w:t xml:space="preserve"> </w:t>
      </w:r>
      <w:r w:rsidR="004B043D" w:rsidRPr="005602A7">
        <w:rPr>
          <w:rFonts w:ascii="Garamond" w:hAnsi="Garamond"/>
          <w:i/>
          <w:iCs/>
        </w:rPr>
        <w:t>supra</w:t>
      </w:r>
      <w:r w:rsidR="004B043D" w:rsidRPr="005602A7">
        <w:rPr>
          <w:rFonts w:ascii="Garamond" w:hAnsi="Garamond"/>
        </w:rPr>
        <w:t xml:space="preserve"> note 175</w:t>
      </w:r>
      <w:r w:rsidR="00BD0616" w:rsidRPr="005602A7">
        <w:rPr>
          <w:rFonts w:ascii="Garamond" w:hAnsi="Garamond"/>
        </w:rPr>
        <w:t>.</w:t>
      </w:r>
    </w:p>
  </w:footnote>
  <w:footnote w:id="179">
    <w:p w14:paraId="07BDA145" w14:textId="5F1FEEC1"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4B043D" w:rsidRPr="005602A7">
        <w:rPr>
          <w:rFonts w:ascii="Garamond" w:hAnsi="Garamond"/>
        </w:rPr>
        <w:t>Id</w:t>
      </w:r>
      <w:r w:rsidR="001C2B14" w:rsidRPr="005602A7">
        <w:rPr>
          <w:rFonts w:ascii="Garamond" w:hAnsi="Garamond"/>
        </w:rPr>
        <w:t>.</w:t>
      </w:r>
      <w:r w:rsidR="004B043D" w:rsidRPr="005602A7">
        <w:rPr>
          <w:rFonts w:ascii="Garamond" w:hAnsi="Garamond"/>
        </w:rPr>
        <w:t xml:space="preserve"> </w:t>
      </w:r>
    </w:p>
  </w:footnote>
  <w:footnote w:id="180">
    <w:p w14:paraId="10E0824D" w14:textId="5B696F40" w:rsidR="00A262A5" w:rsidRPr="005602A7" w:rsidRDefault="00A262A5"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r w:rsidR="00BD0616" w:rsidRPr="005602A7">
        <w:rPr>
          <w:rFonts w:ascii="Garamond" w:hAnsi="Garamond" w:cs="Times New Roman"/>
          <w:lang w:val="en-US"/>
        </w:rPr>
        <w:t xml:space="preserve">Jean </w:t>
      </w:r>
      <w:proofErr w:type="spellStart"/>
      <w:r w:rsidR="00BD0616" w:rsidRPr="005602A7">
        <w:rPr>
          <w:rFonts w:ascii="Garamond" w:hAnsi="Garamond" w:cs="Times New Roman"/>
          <w:lang w:val="en-US"/>
        </w:rPr>
        <w:t>D'Aspremont</w:t>
      </w:r>
      <w:proofErr w:type="spellEnd"/>
      <w:r w:rsidR="00BD0616" w:rsidRPr="005602A7">
        <w:rPr>
          <w:rFonts w:ascii="Garamond" w:hAnsi="Garamond" w:cs="Times New Roman"/>
          <w:lang w:val="en-US"/>
        </w:rPr>
        <w:t xml:space="preserve">, </w:t>
      </w:r>
      <w:r w:rsidR="00BD0616" w:rsidRPr="005602A7">
        <w:rPr>
          <w:rFonts w:ascii="Garamond" w:hAnsi="Garamond" w:cs="Times New Roman"/>
          <w:i/>
          <w:iCs/>
          <w:lang w:val="en-US"/>
        </w:rPr>
        <w:t>Legitimacy of Governments in the Age of Democracy</w:t>
      </w:r>
      <w:r w:rsidR="00040D0D" w:rsidRPr="005602A7">
        <w:rPr>
          <w:rFonts w:ascii="Garamond" w:hAnsi="Garamond" w:cs="Times New Roman"/>
          <w:lang w:val="en-US"/>
        </w:rPr>
        <w:t xml:space="preserve">, </w:t>
      </w:r>
      <w:r w:rsidR="00BD0616" w:rsidRPr="005602A7">
        <w:rPr>
          <w:rFonts w:ascii="Garamond" w:hAnsi="Garamond" w:cs="Times New Roman"/>
          <w:lang w:val="en-US"/>
        </w:rPr>
        <w:t xml:space="preserve">38 </w:t>
      </w:r>
      <w:r w:rsidR="00BD0616" w:rsidRPr="005602A7">
        <w:rPr>
          <w:rFonts w:ascii="Garamond" w:hAnsi="Garamond" w:cs="Times New Roman"/>
          <w:smallCaps/>
          <w:lang w:val="en-US"/>
        </w:rPr>
        <w:t>International Law and Politics</w:t>
      </w:r>
      <w:r w:rsidR="00BD0616" w:rsidRPr="005602A7">
        <w:rPr>
          <w:rFonts w:ascii="Garamond" w:hAnsi="Garamond" w:cs="Times New Roman"/>
          <w:lang w:val="en-US"/>
        </w:rPr>
        <w:t xml:space="preserve"> 877, at </w:t>
      </w:r>
      <w:r w:rsidRPr="005602A7">
        <w:rPr>
          <w:rFonts w:ascii="Garamond" w:hAnsi="Garamond" w:cs="Times New Roman"/>
          <w:lang w:val="en-US"/>
        </w:rPr>
        <w:t>907</w:t>
      </w:r>
      <w:r w:rsidR="00BD0616" w:rsidRPr="005602A7">
        <w:rPr>
          <w:rFonts w:ascii="Garamond" w:hAnsi="Garamond" w:cs="Times New Roman"/>
          <w:lang w:val="en-US"/>
        </w:rPr>
        <w:t xml:space="preserve"> </w:t>
      </w:r>
      <w:r w:rsidR="00040D0D" w:rsidRPr="005602A7">
        <w:rPr>
          <w:rFonts w:ascii="Garamond" w:hAnsi="Garamond" w:cs="Times New Roman"/>
          <w:lang w:val="en-US"/>
        </w:rPr>
        <w:t>(2007)</w:t>
      </w:r>
      <w:r w:rsidRPr="005602A7">
        <w:rPr>
          <w:rFonts w:ascii="Garamond" w:hAnsi="Garamond" w:cs="Times New Roman"/>
          <w:lang w:val="en-US"/>
        </w:rPr>
        <w:t>.</w:t>
      </w:r>
    </w:p>
  </w:footnote>
  <w:footnote w:id="181">
    <w:p w14:paraId="0FF37A39" w14:textId="77B11729"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B52BEA" w:rsidRPr="005602A7">
        <w:rPr>
          <w:rFonts w:ascii="Garamond" w:hAnsi="Garamond"/>
          <w:i/>
          <w:iCs/>
        </w:rPr>
        <w:t>Taliban’s Conditions to Attend UN meeting ‘unacceptable’, Guterres says,</w:t>
      </w:r>
      <w:r w:rsidR="00B52BEA" w:rsidRPr="005602A7">
        <w:rPr>
          <w:rFonts w:ascii="Garamond" w:hAnsi="Garamond"/>
        </w:rPr>
        <w:t xml:space="preserve"> </w:t>
      </w:r>
      <w:r w:rsidR="00CF2A17" w:rsidRPr="005602A7">
        <w:rPr>
          <w:rFonts w:ascii="Garamond" w:hAnsi="Garamond"/>
          <w:smallCaps/>
        </w:rPr>
        <w:t>Al Jazeer</w:t>
      </w:r>
      <w:r w:rsidR="00EB605C" w:rsidRPr="005602A7">
        <w:rPr>
          <w:rFonts w:ascii="Garamond" w:hAnsi="Garamond"/>
          <w:smallCaps/>
        </w:rPr>
        <w:t>a</w:t>
      </w:r>
      <w:r w:rsidR="00CF2A17" w:rsidRPr="005602A7">
        <w:rPr>
          <w:rFonts w:ascii="Garamond" w:hAnsi="Garamond"/>
          <w:smallCaps/>
        </w:rPr>
        <w:t>, (</w:t>
      </w:r>
      <w:proofErr w:type="spellStart"/>
      <w:r w:rsidR="00CF2A17" w:rsidRPr="005602A7">
        <w:rPr>
          <w:rFonts w:ascii="Garamond" w:hAnsi="Garamond"/>
          <w:smallCaps/>
        </w:rPr>
        <w:t>eb</w:t>
      </w:r>
      <w:proofErr w:type="spellEnd"/>
      <w:r w:rsidR="00CF2A17" w:rsidRPr="005602A7">
        <w:rPr>
          <w:rFonts w:ascii="Garamond" w:hAnsi="Garamond"/>
          <w:smallCaps/>
        </w:rPr>
        <w:t xml:space="preserve">. 19, 2024) </w:t>
      </w:r>
      <w:r w:rsidR="00B52BEA" w:rsidRPr="005602A7">
        <w:rPr>
          <w:rFonts w:ascii="Garamond" w:hAnsi="Garamond"/>
        </w:rPr>
        <w:t>https://www.aljazeera.com/news/2024/2/19/talibans-conditions-to-attend-un-meeting-unacceptable-guterres-says#:~:text=The%20Taliban%20took%20over%20Kabul,and%20employment%20remain%20in%20place.</w:t>
      </w:r>
      <w:r w:rsidR="00CF2A17" w:rsidRPr="005602A7">
        <w:rPr>
          <w:rFonts w:ascii="Garamond" w:hAnsi="Garamond"/>
        </w:rPr>
        <w:t>;</w:t>
      </w:r>
      <w:r w:rsidR="00B52BEA" w:rsidRPr="005602A7">
        <w:rPr>
          <w:rFonts w:ascii="Garamond" w:hAnsi="Garamond"/>
        </w:rPr>
        <w:t xml:space="preserve"> </w:t>
      </w:r>
      <w:proofErr w:type="spellStart"/>
      <w:r w:rsidR="004825F9" w:rsidRPr="005602A7">
        <w:rPr>
          <w:rFonts w:ascii="Garamond" w:hAnsi="Garamond"/>
        </w:rPr>
        <w:t>Benvenis</w:t>
      </w:r>
      <w:r w:rsidR="00EB605C" w:rsidRPr="005602A7">
        <w:rPr>
          <w:rFonts w:ascii="Garamond" w:hAnsi="Garamond"/>
        </w:rPr>
        <w:t>ti</w:t>
      </w:r>
      <w:proofErr w:type="spellEnd"/>
      <w:r w:rsidR="004825F9" w:rsidRPr="005602A7">
        <w:rPr>
          <w:rFonts w:ascii="Garamond" w:hAnsi="Garamond"/>
        </w:rPr>
        <w:t xml:space="preserve">, </w:t>
      </w:r>
      <w:r w:rsidR="00570DC2" w:rsidRPr="005602A7">
        <w:rPr>
          <w:rFonts w:ascii="Garamond" w:hAnsi="Garamond"/>
          <w:i/>
          <w:iCs/>
        </w:rPr>
        <w:t>The Paradoxes of Sovereigns as Trustees of Humanity</w:t>
      </w:r>
      <w:r w:rsidR="00570DC2" w:rsidRPr="005602A7">
        <w:rPr>
          <w:rFonts w:ascii="Garamond" w:hAnsi="Garamond"/>
        </w:rPr>
        <w:t xml:space="preserve">, </w:t>
      </w:r>
      <w:r w:rsidR="00570DC2" w:rsidRPr="005602A7">
        <w:rPr>
          <w:rFonts w:ascii="Garamond" w:hAnsi="Garamond"/>
          <w:i/>
          <w:iCs/>
        </w:rPr>
        <w:t>supra</w:t>
      </w:r>
      <w:r w:rsidR="00570DC2" w:rsidRPr="005602A7">
        <w:rPr>
          <w:rFonts w:ascii="Garamond" w:hAnsi="Garamond"/>
        </w:rPr>
        <w:t xml:space="preserve"> </w:t>
      </w:r>
      <w:r w:rsidR="00F07709" w:rsidRPr="005602A7">
        <w:rPr>
          <w:rFonts w:ascii="Garamond" w:hAnsi="Garamond"/>
        </w:rPr>
        <w:t>note 14 at</w:t>
      </w:r>
      <w:r w:rsidR="00BD0616" w:rsidRPr="005602A7">
        <w:rPr>
          <w:rFonts w:ascii="Garamond" w:hAnsi="Garamond"/>
        </w:rPr>
        <w:t xml:space="preserve"> </w:t>
      </w:r>
      <w:r w:rsidRPr="005602A7">
        <w:rPr>
          <w:rFonts w:ascii="Garamond" w:hAnsi="Garamond"/>
        </w:rPr>
        <w:t>536</w:t>
      </w:r>
      <w:r w:rsidR="00BD0616" w:rsidRPr="005602A7">
        <w:rPr>
          <w:rFonts w:ascii="Garamond" w:hAnsi="Garamond"/>
        </w:rPr>
        <w:t>.</w:t>
      </w:r>
      <w:r w:rsidRPr="005602A7">
        <w:rPr>
          <w:rFonts w:ascii="Garamond" w:hAnsi="Garamond"/>
        </w:rPr>
        <w:t xml:space="preserve"> </w:t>
      </w:r>
    </w:p>
  </w:footnote>
  <w:footnote w:id="182">
    <w:p w14:paraId="0AA4A3AB" w14:textId="224D9516"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BD0616" w:rsidRPr="005602A7">
        <w:rPr>
          <w:rFonts w:ascii="Garamond" w:hAnsi="Garamond"/>
        </w:rPr>
        <w:t xml:space="preserve">Andrew Altman and Christopher Heath Wellman, </w:t>
      </w:r>
      <w:r w:rsidR="00BD0616" w:rsidRPr="005602A7">
        <w:rPr>
          <w:rFonts w:ascii="Garamond" w:hAnsi="Garamond"/>
          <w:i/>
          <w:iCs/>
        </w:rPr>
        <w:t xml:space="preserve">The Deontological </w:t>
      </w:r>
      <w:proofErr w:type="spellStart"/>
      <w:r w:rsidR="00BD0616" w:rsidRPr="005602A7">
        <w:rPr>
          <w:rFonts w:ascii="Garamond" w:hAnsi="Garamond"/>
          <w:i/>
          <w:iCs/>
        </w:rPr>
        <w:t>Defense</w:t>
      </w:r>
      <w:proofErr w:type="spellEnd"/>
      <w:r w:rsidR="00BD0616" w:rsidRPr="005602A7">
        <w:rPr>
          <w:rFonts w:ascii="Garamond" w:hAnsi="Garamond"/>
          <w:i/>
          <w:iCs/>
        </w:rPr>
        <w:t xml:space="preserve"> of Democracy: An Argument from Group Rights</w:t>
      </w:r>
      <w:r w:rsidR="00BD0616" w:rsidRPr="005602A7">
        <w:rPr>
          <w:rFonts w:ascii="Garamond" w:hAnsi="Garamond"/>
        </w:rPr>
        <w:t xml:space="preserve"> </w:t>
      </w:r>
      <w:r w:rsidR="00040D0D" w:rsidRPr="005602A7">
        <w:rPr>
          <w:rFonts w:ascii="Garamond" w:hAnsi="Garamond"/>
        </w:rPr>
        <w:t xml:space="preserve">89 </w:t>
      </w:r>
      <w:r w:rsidR="00BD0616" w:rsidRPr="005602A7">
        <w:rPr>
          <w:rFonts w:ascii="Garamond" w:hAnsi="Garamond"/>
          <w:smallCaps/>
        </w:rPr>
        <w:t>Pacific Philosophical Quarterly</w:t>
      </w:r>
      <w:r w:rsidR="00BD0616" w:rsidRPr="005602A7">
        <w:rPr>
          <w:rFonts w:ascii="Garamond" w:hAnsi="Garamond"/>
        </w:rPr>
        <w:t xml:space="preserve"> 279–293</w:t>
      </w:r>
      <w:r w:rsidR="00040D0D" w:rsidRPr="005602A7">
        <w:rPr>
          <w:rFonts w:ascii="Garamond" w:hAnsi="Garamond"/>
        </w:rPr>
        <w:t xml:space="preserve"> (2008)</w:t>
      </w:r>
      <w:r w:rsidR="00BD0616" w:rsidRPr="005602A7">
        <w:rPr>
          <w:rFonts w:ascii="Garamond" w:hAnsi="Garamond"/>
        </w:rPr>
        <w:t xml:space="preserve">: </w:t>
      </w:r>
      <w:r w:rsidRPr="005602A7">
        <w:rPr>
          <w:rFonts w:ascii="Garamond" w:hAnsi="Garamond"/>
        </w:rPr>
        <w:t xml:space="preserve">Altmann and </w:t>
      </w:r>
      <w:r w:rsidR="002D25D3" w:rsidRPr="005602A7">
        <w:rPr>
          <w:rFonts w:ascii="Garamond" w:hAnsi="Garamond"/>
        </w:rPr>
        <w:t>W</w:t>
      </w:r>
      <w:r w:rsidRPr="005602A7">
        <w:rPr>
          <w:rFonts w:ascii="Garamond" w:hAnsi="Garamond"/>
        </w:rPr>
        <w:t>ellman argue that the deontological value of democracy ultimately has recourse to the value of self-determination, and the rejection of democratic government is morally consistent with self-determination’s value</w:t>
      </w:r>
      <w:r w:rsidR="00BD0616" w:rsidRPr="005602A7">
        <w:rPr>
          <w:rFonts w:ascii="Garamond" w:hAnsi="Garamond"/>
        </w:rPr>
        <w:t xml:space="preserve">. </w:t>
      </w:r>
    </w:p>
  </w:footnote>
  <w:footnote w:id="183">
    <w:p w14:paraId="69278B1F" w14:textId="710FE12E"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BD0616" w:rsidRPr="005602A7">
        <w:rPr>
          <w:rFonts w:ascii="Garamond" w:hAnsi="Garamond"/>
        </w:rPr>
        <w:t xml:space="preserve">Brad </w:t>
      </w:r>
      <w:r w:rsidRPr="005602A7">
        <w:rPr>
          <w:rFonts w:ascii="Garamond" w:hAnsi="Garamond"/>
          <w:lang w:val="en-US"/>
        </w:rPr>
        <w:t xml:space="preserve">Roth, </w:t>
      </w:r>
      <w:r w:rsidR="00BD0616" w:rsidRPr="005602A7">
        <w:rPr>
          <w:rFonts w:ascii="Garamond" w:hAnsi="Garamond"/>
          <w:i/>
          <w:iCs/>
          <w:lang w:val="en-US"/>
        </w:rPr>
        <w:t>The illegality of “pro-democratic” invasion pacts, in</w:t>
      </w:r>
      <w:r w:rsidR="00BD0616" w:rsidRPr="005602A7">
        <w:rPr>
          <w:rFonts w:ascii="Garamond" w:hAnsi="Garamond"/>
          <w:lang w:val="en-US"/>
        </w:rPr>
        <w:t xml:space="preserve"> </w:t>
      </w:r>
      <w:r w:rsidR="00AB67BC" w:rsidRPr="005602A7">
        <w:rPr>
          <w:rFonts w:ascii="Garamond" w:hAnsi="Garamond"/>
          <w:smallCaps/>
          <w:lang w:val="en-US"/>
        </w:rPr>
        <w:t>Democratic Governance and International Law</w:t>
      </w:r>
      <w:r w:rsidR="00AB67BC" w:rsidRPr="005602A7">
        <w:rPr>
          <w:rFonts w:ascii="Garamond" w:hAnsi="Garamond"/>
          <w:lang w:val="en-US"/>
        </w:rPr>
        <w:t xml:space="preserve">, (Gregory Fox and Brad Roth eds, CUP 2000) </w:t>
      </w:r>
      <w:r w:rsidRPr="005602A7">
        <w:rPr>
          <w:rFonts w:ascii="Garamond" w:hAnsi="Garamond"/>
          <w:lang w:val="en-US"/>
        </w:rPr>
        <w:t>336</w:t>
      </w:r>
      <w:r w:rsidR="00307204" w:rsidRPr="005602A7">
        <w:rPr>
          <w:rFonts w:ascii="Garamond" w:hAnsi="Garamond"/>
          <w:lang w:val="en-US"/>
        </w:rPr>
        <w:t>.</w:t>
      </w:r>
    </w:p>
  </w:footnote>
  <w:footnote w:id="184">
    <w:p w14:paraId="70A5C42E" w14:textId="18204784" w:rsidR="00DD51DE" w:rsidRPr="005602A7" w:rsidRDefault="00DD51D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Roth</w:t>
      </w:r>
      <w:r w:rsidR="007B0360" w:rsidRPr="005602A7">
        <w:rPr>
          <w:rFonts w:ascii="Garamond" w:hAnsi="Garamond"/>
        </w:rPr>
        <w:t xml:space="preserve">, </w:t>
      </w:r>
      <w:r w:rsidR="0067431C" w:rsidRPr="005602A7">
        <w:rPr>
          <w:rFonts w:ascii="Garamond" w:hAnsi="Garamond" w:cs="Times New Roman"/>
          <w:i/>
          <w:iCs/>
          <w:lang w:val="en-US"/>
        </w:rPr>
        <w:t xml:space="preserve">Secessions, Coups and the International Rule of Law, </w:t>
      </w:r>
      <w:r w:rsidR="0067431C" w:rsidRPr="005602A7">
        <w:rPr>
          <w:rFonts w:ascii="Garamond" w:hAnsi="Garamond"/>
          <w:i/>
          <w:iCs/>
        </w:rPr>
        <w:t>supra</w:t>
      </w:r>
      <w:r w:rsidR="0067431C" w:rsidRPr="005602A7">
        <w:rPr>
          <w:rFonts w:ascii="Garamond" w:hAnsi="Garamond"/>
        </w:rPr>
        <w:t xml:space="preserve"> </w:t>
      </w:r>
      <w:r w:rsidR="007B0360" w:rsidRPr="005602A7">
        <w:rPr>
          <w:rFonts w:ascii="Garamond" w:hAnsi="Garamond"/>
        </w:rPr>
        <w:t>note</w:t>
      </w:r>
      <w:r w:rsidRPr="005602A7">
        <w:rPr>
          <w:rFonts w:ascii="Garamond" w:hAnsi="Garamond"/>
        </w:rPr>
        <w:t xml:space="preserve"> </w:t>
      </w:r>
      <w:r w:rsidR="007B0360" w:rsidRPr="005602A7">
        <w:rPr>
          <w:rFonts w:ascii="Garamond" w:hAnsi="Garamond"/>
        </w:rPr>
        <w:t xml:space="preserve">136 </w:t>
      </w:r>
      <w:r w:rsidRPr="005602A7">
        <w:rPr>
          <w:rFonts w:ascii="Garamond" w:hAnsi="Garamond"/>
        </w:rPr>
        <w:t xml:space="preserve">at </w:t>
      </w:r>
      <w:r w:rsidRPr="005602A7">
        <w:rPr>
          <w:rFonts w:ascii="Garamond" w:hAnsi="Garamond" w:cs="Times New Roman"/>
          <w:lang w:val="en-US"/>
        </w:rPr>
        <w:t>396.</w:t>
      </w:r>
    </w:p>
  </w:footnote>
  <w:footnote w:id="185">
    <w:p w14:paraId="22640C7A" w14:textId="1059559A" w:rsidR="00DD51DE" w:rsidRPr="005602A7" w:rsidRDefault="00DD51D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Roth</w:t>
      </w:r>
      <w:r w:rsidR="004B043D" w:rsidRPr="005602A7">
        <w:rPr>
          <w:rFonts w:ascii="Garamond" w:hAnsi="Garamond"/>
          <w:lang w:val="en-US"/>
        </w:rPr>
        <w:t>,</w:t>
      </w:r>
      <w:r w:rsidRPr="005602A7">
        <w:rPr>
          <w:rFonts w:ascii="Garamond" w:hAnsi="Garamond"/>
          <w:lang w:val="en-US"/>
        </w:rPr>
        <w:t xml:space="preserve"> </w:t>
      </w:r>
      <w:proofErr w:type="gramStart"/>
      <w:r w:rsidR="00F12B63" w:rsidRPr="005602A7">
        <w:rPr>
          <w:rFonts w:ascii="Garamond" w:hAnsi="Garamond"/>
          <w:i/>
          <w:iCs/>
          <w:lang w:val="en-US"/>
        </w:rPr>
        <w:t>The</w:t>
      </w:r>
      <w:proofErr w:type="gramEnd"/>
      <w:r w:rsidR="00F12B63" w:rsidRPr="005602A7">
        <w:rPr>
          <w:rFonts w:ascii="Garamond" w:hAnsi="Garamond"/>
          <w:i/>
          <w:iCs/>
          <w:lang w:val="en-US"/>
        </w:rPr>
        <w:t xml:space="preserve"> illegality of “pro-democratic” invasion pacts, </w:t>
      </w:r>
      <w:r w:rsidR="004B043D" w:rsidRPr="005602A7">
        <w:rPr>
          <w:rFonts w:ascii="Garamond" w:hAnsi="Garamond"/>
          <w:i/>
          <w:iCs/>
          <w:lang w:val="en-US"/>
        </w:rPr>
        <w:t>supra</w:t>
      </w:r>
      <w:r w:rsidR="004B043D" w:rsidRPr="005602A7">
        <w:rPr>
          <w:rFonts w:ascii="Garamond" w:hAnsi="Garamond"/>
          <w:lang w:val="en-US"/>
        </w:rPr>
        <w:t xml:space="preserve"> note 182 at </w:t>
      </w:r>
      <w:r w:rsidRPr="005602A7">
        <w:rPr>
          <w:rFonts w:ascii="Garamond" w:hAnsi="Garamond"/>
          <w:lang w:val="en-US"/>
        </w:rPr>
        <w:t xml:space="preserve">335; </w:t>
      </w:r>
      <w:r w:rsidRPr="005602A7">
        <w:rPr>
          <w:rFonts w:ascii="Garamond" w:hAnsi="Garamond"/>
        </w:rPr>
        <w:t xml:space="preserve">Read: Martti </w:t>
      </w:r>
      <w:proofErr w:type="spellStart"/>
      <w:r w:rsidRPr="005602A7">
        <w:rPr>
          <w:rFonts w:ascii="Garamond" w:hAnsi="Garamond"/>
        </w:rPr>
        <w:t>Koskenniem</w:t>
      </w:r>
      <w:proofErr w:type="spellEnd"/>
      <w:r w:rsidRPr="005602A7">
        <w:rPr>
          <w:rFonts w:ascii="Garamond" w:hAnsi="Garamond"/>
        </w:rPr>
        <w:t xml:space="preserve">, </w:t>
      </w:r>
      <w:r w:rsidRPr="005602A7">
        <w:rPr>
          <w:rFonts w:ascii="Garamond" w:hAnsi="Garamond"/>
          <w:i/>
          <w:iCs/>
        </w:rPr>
        <w:t xml:space="preserve">whose intolerance, which democracy? </w:t>
      </w:r>
      <w:r w:rsidRPr="005602A7">
        <w:rPr>
          <w:rFonts w:ascii="Garamond" w:hAnsi="Garamond"/>
          <w:i/>
          <w:iCs/>
          <w:lang w:val="en-US"/>
        </w:rPr>
        <w:t>in</w:t>
      </w:r>
      <w:r w:rsidRPr="005602A7">
        <w:rPr>
          <w:rFonts w:ascii="Garamond" w:hAnsi="Garamond"/>
          <w:lang w:val="en-US"/>
        </w:rPr>
        <w:t xml:space="preserve"> </w:t>
      </w:r>
      <w:r w:rsidRPr="005602A7">
        <w:rPr>
          <w:rFonts w:ascii="Garamond" w:hAnsi="Garamond"/>
          <w:smallCaps/>
          <w:lang w:val="en-US"/>
        </w:rPr>
        <w:t>Democratic Governance and International Law</w:t>
      </w:r>
      <w:r w:rsidRPr="005602A7">
        <w:rPr>
          <w:rFonts w:ascii="Garamond" w:hAnsi="Garamond"/>
          <w:lang w:val="en-US"/>
        </w:rPr>
        <w:t>, (Gregory Fox and Brad Roth eds, CUP 2000).</w:t>
      </w:r>
    </w:p>
  </w:footnote>
  <w:footnote w:id="186">
    <w:p w14:paraId="733F7038" w14:textId="77777777" w:rsidR="00DD51DE" w:rsidRPr="005602A7" w:rsidRDefault="00DD51D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Jonas Wolff, </w:t>
      </w:r>
      <w:r w:rsidRPr="005602A7">
        <w:rPr>
          <w:rFonts w:ascii="Garamond" w:hAnsi="Garamond"/>
          <w:i/>
          <w:iCs/>
          <w:lang w:val="en-US"/>
        </w:rPr>
        <w:t>The Question of Self-determination in International Democracy Promotion</w:t>
      </w:r>
      <w:r w:rsidRPr="005602A7">
        <w:rPr>
          <w:rFonts w:ascii="Garamond" w:hAnsi="Garamond"/>
          <w:lang w:val="en-US"/>
        </w:rPr>
        <w:t>, p. 9-10 (March 2014).</w:t>
      </w:r>
    </w:p>
  </w:footnote>
  <w:footnote w:id="187">
    <w:p w14:paraId="63C1149E" w14:textId="5AF018A1" w:rsidR="00DD51DE" w:rsidRPr="005602A7" w:rsidRDefault="00DD51D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7B0360" w:rsidRPr="005602A7">
        <w:rPr>
          <w:rFonts w:ascii="Garamond" w:hAnsi="Garamond"/>
          <w:i/>
          <w:iCs/>
          <w:lang w:val="en-US"/>
        </w:rPr>
        <w:t>Id</w:t>
      </w:r>
      <w:r w:rsidR="007B0360" w:rsidRPr="005602A7">
        <w:rPr>
          <w:rFonts w:ascii="Garamond" w:hAnsi="Garamond"/>
          <w:lang w:val="en-US"/>
        </w:rPr>
        <w:t xml:space="preserve"> at</w:t>
      </w:r>
      <w:r w:rsidRPr="005602A7">
        <w:rPr>
          <w:rFonts w:ascii="Garamond" w:hAnsi="Garamond"/>
        </w:rPr>
        <w:t xml:space="preserve"> 8-9.</w:t>
      </w:r>
    </w:p>
  </w:footnote>
  <w:footnote w:id="188">
    <w:p w14:paraId="2D11005A" w14:textId="758896E4"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5A3658" w:rsidRPr="005602A7">
        <w:rPr>
          <w:rFonts w:ascii="Garamond" w:hAnsi="Garamond"/>
        </w:rPr>
        <w:t>Ryngaert</w:t>
      </w:r>
      <w:proofErr w:type="spellEnd"/>
      <w:r w:rsidR="005A3658" w:rsidRPr="005602A7">
        <w:rPr>
          <w:rFonts w:ascii="Garamond" w:hAnsi="Garamond"/>
        </w:rPr>
        <w:t xml:space="preserve">, </w:t>
      </w:r>
      <w:r w:rsidR="0011737E" w:rsidRPr="005602A7">
        <w:rPr>
          <w:rFonts w:ascii="Garamond" w:hAnsi="Garamond"/>
          <w:i/>
          <w:iCs/>
        </w:rPr>
        <w:t xml:space="preserve">supra </w:t>
      </w:r>
      <w:r w:rsidR="0011737E" w:rsidRPr="005602A7">
        <w:rPr>
          <w:rFonts w:ascii="Garamond" w:hAnsi="Garamond"/>
        </w:rPr>
        <w:t>note 4</w:t>
      </w:r>
      <w:r w:rsidRPr="005602A7">
        <w:rPr>
          <w:rFonts w:ascii="Garamond" w:hAnsi="Garamond"/>
        </w:rPr>
        <w:t>; see Ozan O Varol referring to the coup in Egypt against Hosni Mobarak</w:t>
      </w:r>
      <w:r w:rsidR="004B5C12" w:rsidRPr="005602A7">
        <w:rPr>
          <w:rFonts w:ascii="Garamond" w:hAnsi="Garamond"/>
        </w:rPr>
        <w:t xml:space="preserve">, Ozan O Varol, </w:t>
      </w:r>
      <w:r w:rsidR="004B5C12" w:rsidRPr="005602A7">
        <w:rPr>
          <w:rFonts w:ascii="Garamond" w:hAnsi="Garamond"/>
          <w:i/>
          <w:iCs/>
        </w:rPr>
        <w:t xml:space="preserve">The Democratic Coup </w:t>
      </w:r>
      <w:proofErr w:type="spellStart"/>
      <w:r w:rsidR="004B5C12" w:rsidRPr="005602A7">
        <w:rPr>
          <w:rFonts w:ascii="Garamond" w:hAnsi="Garamond"/>
          <w:i/>
          <w:iCs/>
        </w:rPr>
        <w:t>d’État</w:t>
      </w:r>
      <w:proofErr w:type="spellEnd"/>
      <w:r w:rsidR="004B5C12" w:rsidRPr="005602A7">
        <w:rPr>
          <w:rFonts w:ascii="Garamond" w:hAnsi="Garamond"/>
          <w:i/>
          <w:iCs/>
        </w:rPr>
        <w:t>,</w:t>
      </w:r>
      <w:r w:rsidR="004B5C12" w:rsidRPr="005602A7">
        <w:rPr>
          <w:rFonts w:ascii="Garamond" w:hAnsi="Garamond"/>
        </w:rPr>
        <w:t xml:space="preserve"> 53</w:t>
      </w:r>
      <w:r w:rsidR="00C94570" w:rsidRPr="005602A7">
        <w:rPr>
          <w:rFonts w:ascii="Garamond" w:hAnsi="Garamond"/>
        </w:rPr>
        <w:t>(</w:t>
      </w:r>
      <w:r w:rsidR="004B5C12" w:rsidRPr="005602A7">
        <w:rPr>
          <w:rFonts w:ascii="Garamond" w:hAnsi="Garamond"/>
        </w:rPr>
        <w:t>2</w:t>
      </w:r>
      <w:r w:rsidR="00C94570" w:rsidRPr="005602A7">
        <w:rPr>
          <w:rFonts w:ascii="Garamond" w:hAnsi="Garamond"/>
        </w:rPr>
        <w:t>)</w:t>
      </w:r>
      <w:r w:rsidR="004B5C12" w:rsidRPr="005602A7">
        <w:rPr>
          <w:rFonts w:ascii="Garamond" w:hAnsi="Garamond"/>
        </w:rPr>
        <w:t xml:space="preserve"> </w:t>
      </w:r>
      <w:r w:rsidR="004B5C12" w:rsidRPr="005602A7">
        <w:rPr>
          <w:rFonts w:ascii="Garamond" w:hAnsi="Garamond"/>
          <w:smallCaps/>
        </w:rPr>
        <w:t>Harvard International Law Journal</w:t>
      </w:r>
      <w:r w:rsidR="004B5C12" w:rsidRPr="005602A7">
        <w:rPr>
          <w:rFonts w:ascii="Garamond" w:hAnsi="Garamond"/>
        </w:rPr>
        <w:t>, 292.</w:t>
      </w:r>
      <w:r w:rsidRPr="005602A7">
        <w:rPr>
          <w:rFonts w:ascii="Garamond" w:hAnsi="Garamond"/>
        </w:rPr>
        <w:t xml:space="preserve"> </w:t>
      </w:r>
    </w:p>
  </w:footnote>
  <w:footnote w:id="189">
    <w:p w14:paraId="0047393E" w14:textId="2764933C"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4B5C12" w:rsidRPr="005602A7">
        <w:rPr>
          <w:rFonts w:ascii="Garamond" w:hAnsi="Garamond" w:cs="Times New Roman"/>
          <w:lang w:val="en-US"/>
        </w:rPr>
        <w:t xml:space="preserve">Eki </w:t>
      </w:r>
      <w:proofErr w:type="spellStart"/>
      <w:r w:rsidR="004B5C12" w:rsidRPr="005602A7">
        <w:rPr>
          <w:rFonts w:ascii="Garamond" w:hAnsi="Garamond" w:cs="Times New Roman"/>
        </w:rPr>
        <w:t>Omorogbe</w:t>
      </w:r>
      <w:proofErr w:type="spellEnd"/>
      <w:r w:rsidR="004B5C12" w:rsidRPr="005602A7">
        <w:rPr>
          <w:rFonts w:ascii="Garamond" w:hAnsi="Garamond" w:cs="Times New Roman"/>
        </w:rPr>
        <w:t xml:space="preserve">, </w:t>
      </w:r>
      <w:r w:rsidR="004B5C12" w:rsidRPr="005602A7">
        <w:rPr>
          <w:rFonts w:ascii="Garamond" w:hAnsi="Garamond" w:cs="Times New Roman"/>
          <w:i/>
          <w:iCs/>
        </w:rPr>
        <w:t xml:space="preserve">A Club of Incumbents? The African Union and Coups </w:t>
      </w:r>
      <w:proofErr w:type="spellStart"/>
      <w:r w:rsidR="004B5C12" w:rsidRPr="005602A7">
        <w:rPr>
          <w:rFonts w:ascii="Garamond" w:hAnsi="Garamond" w:cs="Times New Roman"/>
          <w:i/>
          <w:iCs/>
        </w:rPr>
        <w:t>d’Etat</w:t>
      </w:r>
      <w:proofErr w:type="spellEnd"/>
      <w:r w:rsidR="004B5C12" w:rsidRPr="005602A7">
        <w:rPr>
          <w:rFonts w:ascii="Garamond" w:hAnsi="Garamond" w:cs="Times New Roman"/>
          <w:i/>
          <w:iCs/>
        </w:rPr>
        <w:t>’</w:t>
      </w:r>
      <w:r w:rsidR="00C94570" w:rsidRPr="005602A7">
        <w:rPr>
          <w:rFonts w:ascii="Garamond" w:hAnsi="Garamond" w:cs="Times New Roman"/>
        </w:rPr>
        <w:t xml:space="preserve"> </w:t>
      </w:r>
      <w:r w:rsidR="004B5C12" w:rsidRPr="005602A7">
        <w:rPr>
          <w:rFonts w:ascii="Garamond" w:hAnsi="Garamond" w:cs="Times New Roman"/>
        </w:rPr>
        <w:t xml:space="preserve">44(1) </w:t>
      </w:r>
      <w:r w:rsidR="004B5C12" w:rsidRPr="005602A7">
        <w:rPr>
          <w:rFonts w:ascii="Garamond" w:hAnsi="Garamond" w:cs="Times New Roman"/>
          <w:smallCaps/>
        </w:rPr>
        <w:t>Vanderbilt Journal of Transnational Law</w:t>
      </w:r>
      <w:r w:rsidR="004B5C12" w:rsidRPr="005602A7">
        <w:rPr>
          <w:rFonts w:ascii="Garamond" w:hAnsi="Garamond" w:cs="Times New Roman"/>
        </w:rPr>
        <w:t xml:space="preserve"> 123</w:t>
      </w:r>
      <w:r w:rsidR="00C94570" w:rsidRPr="005602A7">
        <w:rPr>
          <w:rFonts w:ascii="Garamond" w:hAnsi="Garamond" w:cs="Times New Roman"/>
        </w:rPr>
        <w:t xml:space="preserve"> (2011)</w:t>
      </w:r>
      <w:r w:rsidR="004B5C12" w:rsidRPr="005602A7">
        <w:rPr>
          <w:rFonts w:ascii="Garamond" w:hAnsi="Garamond" w:cs="Times New Roman"/>
        </w:rPr>
        <w:t>.</w:t>
      </w:r>
    </w:p>
  </w:footnote>
  <w:footnote w:id="190">
    <w:p w14:paraId="476BAA02" w14:textId="3C05A390"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3C6AFE" w:rsidRPr="005602A7">
        <w:rPr>
          <w:rFonts w:ascii="Garamond" w:hAnsi="Garamond"/>
        </w:rPr>
        <w:t xml:space="preserve">Varol </w:t>
      </w:r>
      <w:r w:rsidR="00AB56E8" w:rsidRPr="005602A7">
        <w:rPr>
          <w:rFonts w:ascii="Garamond" w:hAnsi="Garamond"/>
          <w:i/>
          <w:iCs/>
        </w:rPr>
        <w:t xml:space="preserve">The Democratic Coup </w:t>
      </w:r>
      <w:proofErr w:type="spellStart"/>
      <w:r w:rsidR="00AB56E8" w:rsidRPr="005602A7">
        <w:rPr>
          <w:rFonts w:ascii="Garamond" w:hAnsi="Garamond"/>
          <w:i/>
          <w:iCs/>
        </w:rPr>
        <w:t>d’État</w:t>
      </w:r>
      <w:proofErr w:type="spellEnd"/>
      <w:r w:rsidR="00AB56E8" w:rsidRPr="005602A7">
        <w:rPr>
          <w:rFonts w:ascii="Garamond" w:hAnsi="Garamond"/>
          <w:i/>
          <w:iCs/>
        </w:rPr>
        <w:t xml:space="preserve">, </w:t>
      </w:r>
      <w:r w:rsidR="007B0360" w:rsidRPr="005602A7">
        <w:rPr>
          <w:rFonts w:ascii="Garamond" w:hAnsi="Garamond"/>
          <w:i/>
          <w:iCs/>
        </w:rPr>
        <w:t>supra</w:t>
      </w:r>
      <w:r w:rsidR="007B0360" w:rsidRPr="005602A7">
        <w:rPr>
          <w:rFonts w:ascii="Garamond" w:hAnsi="Garamond"/>
        </w:rPr>
        <w:t xml:space="preserve"> note 187</w:t>
      </w:r>
      <w:r w:rsidR="00C56057" w:rsidRPr="005602A7">
        <w:rPr>
          <w:rFonts w:ascii="Garamond" w:hAnsi="Garamond"/>
          <w:lang w:val="en-US"/>
        </w:rPr>
        <w:t>.</w:t>
      </w:r>
    </w:p>
  </w:footnote>
  <w:footnote w:id="191">
    <w:p w14:paraId="73955358" w14:textId="4C902069" w:rsidR="007117CE" w:rsidRPr="005602A7" w:rsidRDefault="007117C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2F7F8D" w:rsidRPr="005602A7">
        <w:rPr>
          <w:rFonts w:ascii="Garamond" w:hAnsi="Garamond"/>
        </w:rPr>
        <w:t xml:space="preserve">Chiara Redaelli, </w:t>
      </w:r>
      <w:r w:rsidR="002F7F8D" w:rsidRPr="005602A7">
        <w:rPr>
          <w:rFonts w:ascii="Garamond" w:hAnsi="Garamond"/>
          <w:i/>
          <w:iCs/>
        </w:rPr>
        <w:t>Military Intervention on Request in Jus ad Bellum and Jus in Bello and the Question of Recognition of Governments,</w:t>
      </w:r>
      <w:r w:rsidR="002F7F8D" w:rsidRPr="005602A7">
        <w:rPr>
          <w:rFonts w:ascii="Garamond" w:hAnsi="Garamond"/>
        </w:rPr>
        <w:t xml:space="preserve"> 12</w:t>
      </w:r>
      <w:r w:rsidR="002F7F8D" w:rsidRPr="005602A7">
        <w:rPr>
          <w:rFonts w:ascii="Garamond" w:hAnsi="Garamond"/>
          <w:i/>
          <w:iCs/>
        </w:rPr>
        <w:t xml:space="preserve"> </w:t>
      </w:r>
      <w:r w:rsidR="002F7F8D" w:rsidRPr="005602A7">
        <w:rPr>
          <w:rFonts w:ascii="Garamond" w:hAnsi="Garamond"/>
          <w:smallCaps/>
        </w:rPr>
        <w:t>Goettingen Journal of International Law</w:t>
      </w:r>
      <w:r w:rsidR="002F7F8D" w:rsidRPr="005602A7">
        <w:rPr>
          <w:rFonts w:ascii="Garamond" w:hAnsi="Garamond"/>
        </w:rPr>
        <w:t xml:space="preserve"> 1, 105 at 115 (2022) </w:t>
      </w:r>
      <w:r w:rsidRPr="005602A7">
        <w:rPr>
          <w:rFonts w:ascii="Garamond" w:hAnsi="Garamond"/>
        </w:rPr>
        <w:t xml:space="preserve">at 122. </w:t>
      </w:r>
    </w:p>
  </w:footnote>
  <w:footnote w:id="192">
    <w:p w14:paraId="48898361" w14:textId="351D4A6E"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CC2B71" w:rsidRPr="005602A7">
        <w:rPr>
          <w:rFonts w:ascii="Garamond" w:hAnsi="Garamond"/>
        </w:rPr>
        <w:t>After Much Wrangling, General Assembly Seats National Transitional Council of Libya as Country’s Representative for Sixty-Sixth Session, available at: https://press.un.org/en/2011/ga11137.doc.htm</w:t>
      </w:r>
      <w:r w:rsidRPr="005602A7">
        <w:rPr>
          <w:rFonts w:ascii="Garamond" w:hAnsi="Garamond"/>
        </w:rPr>
        <w:t xml:space="preserve"> </w:t>
      </w:r>
      <w:r w:rsidR="00CC2B71" w:rsidRPr="005602A7">
        <w:rPr>
          <w:rFonts w:ascii="Garamond" w:hAnsi="Garamond"/>
        </w:rPr>
        <w:t>(Sept. 16, 2011)</w:t>
      </w:r>
      <w:r w:rsidRPr="005602A7">
        <w:rPr>
          <w:rFonts w:ascii="Garamond" w:hAnsi="Garamond"/>
        </w:rPr>
        <w:t xml:space="preserve">; </w:t>
      </w:r>
      <w:r w:rsidR="00CC2B71" w:rsidRPr="005602A7">
        <w:rPr>
          <w:rFonts w:ascii="Garamond" w:hAnsi="Garamond"/>
        </w:rPr>
        <w:t>Venezuela: Guaidó Increasingly Isolated as UN Recognizes Maduro Gov’t in ‘Resounding’ Vote, José Luis Granados Ceja, https://venezuelanalysis.com/news/15405/ (Dec. 8, 2021)</w:t>
      </w:r>
      <w:r w:rsidR="002D25D3" w:rsidRPr="005602A7">
        <w:rPr>
          <w:rFonts w:ascii="Garamond" w:hAnsi="Garamond"/>
        </w:rPr>
        <w:t>.</w:t>
      </w:r>
    </w:p>
  </w:footnote>
  <w:footnote w:id="193">
    <w:p w14:paraId="5E820970" w14:textId="325A2B5B" w:rsidR="00A262A5" w:rsidRPr="005602A7" w:rsidRDefault="00A262A5"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r w:rsidR="005B5944" w:rsidRPr="005602A7">
        <w:rPr>
          <w:rFonts w:ascii="Garamond" w:hAnsi="Garamond" w:cs="Times New Roman"/>
        </w:rPr>
        <w:t xml:space="preserve">de Wet, </w:t>
      </w:r>
      <w:r w:rsidR="00AB56E8" w:rsidRPr="005602A7">
        <w:rPr>
          <w:rFonts w:ascii="Garamond" w:hAnsi="Garamond" w:cs="Times New Roman"/>
        </w:rPr>
        <w:t xml:space="preserve">he Modern Practice of Intervention by Invitation in Africa, </w:t>
      </w:r>
      <w:r w:rsidR="004B043D" w:rsidRPr="005602A7">
        <w:rPr>
          <w:rFonts w:ascii="Garamond" w:hAnsi="Garamond" w:cs="Times New Roman"/>
          <w:i/>
          <w:iCs/>
        </w:rPr>
        <w:t>supra</w:t>
      </w:r>
      <w:r w:rsidR="004B043D" w:rsidRPr="005602A7">
        <w:rPr>
          <w:rFonts w:ascii="Garamond" w:hAnsi="Garamond" w:cs="Times New Roman"/>
        </w:rPr>
        <w:t xml:space="preserve"> note 163 at </w:t>
      </w:r>
      <w:r w:rsidRPr="005602A7">
        <w:rPr>
          <w:rFonts w:ascii="Garamond" w:hAnsi="Garamond" w:cs="Times New Roman"/>
          <w:lang w:val="en-US"/>
        </w:rPr>
        <w:t>986-989.</w:t>
      </w:r>
    </w:p>
  </w:footnote>
  <w:footnote w:id="194">
    <w:p w14:paraId="3DB0E86D" w14:textId="1D9949DC"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00CD7D43" w:rsidRPr="005602A7">
        <w:rPr>
          <w:rFonts w:ascii="Garamond" w:hAnsi="Garamond" w:cs="Times New Roman"/>
          <w:lang w:val="en-US"/>
        </w:rPr>
        <w:t xml:space="preserve"> </w:t>
      </w:r>
      <w:proofErr w:type="spellStart"/>
      <w:r w:rsidR="00CD7D43" w:rsidRPr="005602A7">
        <w:rPr>
          <w:rFonts w:ascii="Garamond" w:hAnsi="Garamond" w:cs="Times New Roman"/>
          <w:lang w:val="en-US"/>
        </w:rPr>
        <w:t>D'Aspremont</w:t>
      </w:r>
      <w:proofErr w:type="spellEnd"/>
      <w:r w:rsidR="00CD7D43" w:rsidRPr="005602A7">
        <w:rPr>
          <w:rFonts w:ascii="Garamond" w:hAnsi="Garamond" w:cs="Times New Roman"/>
          <w:lang w:val="en-US"/>
        </w:rPr>
        <w:t>,</w:t>
      </w:r>
      <w:r w:rsidR="00F12B63" w:rsidRPr="005602A7">
        <w:rPr>
          <w:rFonts w:ascii="Garamond" w:hAnsi="Garamond" w:cs="Times New Roman"/>
          <w:lang w:val="en-US"/>
        </w:rPr>
        <w:t xml:space="preserve"> </w:t>
      </w:r>
      <w:r w:rsidR="00F12B63" w:rsidRPr="005602A7">
        <w:rPr>
          <w:rFonts w:ascii="Garamond" w:hAnsi="Garamond" w:cs="Times New Roman"/>
          <w:i/>
          <w:iCs/>
          <w:lang w:val="en-US"/>
        </w:rPr>
        <w:t xml:space="preserve">Legitimacy of Governments in the Age of Democracy, </w:t>
      </w:r>
      <w:r w:rsidR="004B043D" w:rsidRPr="005602A7">
        <w:rPr>
          <w:rFonts w:ascii="Garamond" w:hAnsi="Garamond" w:cs="Times New Roman"/>
          <w:i/>
          <w:iCs/>
          <w:lang w:val="en-US"/>
        </w:rPr>
        <w:t xml:space="preserve">supra </w:t>
      </w:r>
      <w:r w:rsidR="004B043D" w:rsidRPr="005602A7">
        <w:rPr>
          <w:rFonts w:ascii="Garamond" w:hAnsi="Garamond" w:cs="Times New Roman"/>
          <w:lang w:val="en-US"/>
        </w:rPr>
        <w:t xml:space="preserve">note 179 at </w:t>
      </w:r>
      <w:r w:rsidRPr="005602A7">
        <w:rPr>
          <w:rFonts w:ascii="Garamond" w:hAnsi="Garamond"/>
        </w:rPr>
        <w:t>902.</w:t>
      </w:r>
    </w:p>
  </w:footnote>
  <w:footnote w:id="195">
    <w:p w14:paraId="46D1762A" w14:textId="06DD8FBA" w:rsidR="00A262A5" w:rsidRPr="005602A7" w:rsidRDefault="00A262A5"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r w:rsidR="0011737E" w:rsidRPr="005602A7">
        <w:rPr>
          <w:rFonts w:ascii="Garamond" w:hAnsi="Garamond" w:cs="Times New Roman"/>
          <w:smallCaps/>
          <w:lang w:val="en-US"/>
        </w:rPr>
        <w:t>de Wet,</w:t>
      </w:r>
      <w:r w:rsidR="0011737E" w:rsidRPr="005602A7">
        <w:rPr>
          <w:rFonts w:ascii="Garamond" w:hAnsi="Garamond" w:cs="Times New Roman"/>
          <w:lang w:val="en-US"/>
        </w:rPr>
        <w:t xml:space="preserve"> </w:t>
      </w:r>
      <w:r w:rsidR="00F12B63" w:rsidRPr="005602A7">
        <w:rPr>
          <w:rFonts w:ascii="Garamond" w:hAnsi="Garamond" w:cs="Times New Roman"/>
          <w:smallCaps/>
          <w:lang w:val="en-US"/>
        </w:rPr>
        <w:t>Military Assistance on Request and the Use of Force</w:t>
      </w:r>
      <w:r w:rsidR="00F12B63" w:rsidRPr="005602A7">
        <w:rPr>
          <w:rFonts w:ascii="Garamond" w:hAnsi="Garamond" w:cs="Times New Roman"/>
          <w:i/>
          <w:iCs/>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 </w:t>
      </w:r>
      <w:r w:rsidR="00E00991" w:rsidRPr="005602A7">
        <w:rPr>
          <w:rFonts w:ascii="Garamond" w:hAnsi="Garamond" w:cs="Times New Roman"/>
          <w:lang w:val="en-US"/>
        </w:rPr>
        <w:t xml:space="preserve">at </w:t>
      </w:r>
      <w:r w:rsidRPr="005602A7">
        <w:rPr>
          <w:rFonts w:ascii="Garamond" w:hAnsi="Garamond" w:cs="Times New Roman"/>
          <w:lang w:val="en-US"/>
        </w:rPr>
        <w:t>Chapter 2.</w:t>
      </w:r>
    </w:p>
  </w:footnote>
  <w:footnote w:id="196">
    <w:p w14:paraId="6CAEF78E" w14:textId="049E01D9" w:rsidR="00A262A5" w:rsidRPr="005602A7" w:rsidRDefault="00A262A5"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proofErr w:type="spellStart"/>
      <w:r w:rsidR="002F7F8D" w:rsidRPr="005602A7">
        <w:rPr>
          <w:rFonts w:ascii="Garamond" w:hAnsi="Garamond" w:cs="Times New Roman"/>
          <w:lang w:val="en-US"/>
        </w:rPr>
        <w:t>Nussberger</w:t>
      </w:r>
      <w:proofErr w:type="spellEnd"/>
      <w:r w:rsidR="002F7F8D" w:rsidRPr="005602A7">
        <w:rPr>
          <w:rFonts w:ascii="Garamond" w:hAnsi="Garamond" w:cs="Times New Roman"/>
          <w:lang w:val="en-US"/>
        </w:rPr>
        <w:t xml:space="preserve">, </w:t>
      </w:r>
      <w:r w:rsidR="00AB56E8" w:rsidRPr="005602A7">
        <w:rPr>
          <w:rFonts w:ascii="Garamond" w:hAnsi="Garamond" w:cs="Times New Roman"/>
          <w:i/>
          <w:iCs/>
          <w:lang w:val="en-US"/>
        </w:rPr>
        <w:t xml:space="preserve">Military Strikes in Yemen in 2015, </w:t>
      </w:r>
      <w:r w:rsidR="00492BC1" w:rsidRPr="005602A7">
        <w:rPr>
          <w:rFonts w:ascii="Garamond" w:hAnsi="Garamond" w:cs="Times New Roman"/>
          <w:i/>
          <w:iCs/>
          <w:lang w:val="en-US"/>
        </w:rPr>
        <w:t xml:space="preserve">supra </w:t>
      </w:r>
      <w:r w:rsidR="00492BC1" w:rsidRPr="005602A7">
        <w:rPr>
          <w:rFonts w:ascii="Garamond" w:hAnsi="Garamond" w:cs="Times New Roman"/>
          <w:lang w:val="en-US"/>
        </w:rPr>
        <w:t>note 154 at</w:t>
      </w:r>
      <w:r w:rsidRPr="005602A7">
        <w:rPr>
          <w:rFonts w:ascii="Garamond" w:hAnsi="Garamond" w:cs="Times New Roman"/>
          <w:lang w:val="en-US"/>
        </w:rPr>
        <w:t xml:space="preserve"> 32-33; </w:t>
      </w:r>
      <w:r w:rsidR="004B5C12" w:rsidRPr="005602A7">
        <w:rPr>
          <w:rFonts w:ascii="Garamond" w:hAnsi="Garamond"/>
          <w:lang w:val="en-US"/>
        </w:rPr>
        <w:t>C</w:t>
      </w:r>
      <w:r w:rsidRPr="005602A7">
        <w:rPr>
          <w:rFonts w:ascii="Garamond" w:hAnsi="Garamond"/>
          <w:lang w:val="en-US"/>
        </w:rPr>
        <w:t>orten also refer</w:t>
      </w:r>
      <w:r w:rsidR="004B5C12" w:rsidRPr="005602A7">
        <w:rPr>
          <w:rFonts w:ascii="Garamond" w:hAnsi="Garamond"/>
          <w:lang w:val="en-US"/>
        </w:rPr>
        <w:t>s</w:t>
      </w:r>
      <w:r w:rsidRPr="005602A7">
        <w:rPr>
          <w:rFonts w:ascii="Garamond" w:hAnsi="Garamond"/>
          <w:lang w:val="en-US"/>
        </w:rPr>
        <w:t xml:space="preserve"> to the will of the people</w:t>
      </w:r>
      <w:r w:rsidR="004B5C12" w:rsidRPr="005602A7">
        <w:rPr>
          <w:rFonts w:ascii="Garamond" w:hAnsi="Garamond"/>
          <w:lang w:val="en-US"/>
        </w:rPr>
        <w:t>, in Olivier Corten</w:t>
      </w:r>
      <w:r w:rsidR="00C94570" w:rsidRPr="005602A7">
        <w:rPr>
          <w:rFonts w:ascii="Garamond" w:hAnsi="Garamond"/>
          <w:lang w:val="en-US"/>
        </w:rPr>
        <w:t xml:space="preserve">, </w:t>
      </w:r>
      <w:r w:rsidR="004B5C12" w:rsidRPr="005602A7">
        <w:rPr>
          <w:rFonts w:ascii="Garamond" w:hAnsi="Garamond"/>
          <w:i/>
          <w:iCs/>
          <w:lang w:val="en-US"/>
        </w:rPr>
        <w:t>Intervention by Invitation in</w:t>
      </w:r>
      <w:r w:rsidR="004B5C12" w:rsidRPr="005602A7">
        <w:rPr>
          <w:rFonts w:ascii="Garamond" w:hAnsi="Garamond"/>
          <w:lang w:val="en-US"/>
        </w:rPr>
        <w:t xml:space="preserve"> </w:t>
      </w:r>
      <w:r w:rsidR="00CB0680" w:rsidRPr="005602A7">
        <w:rPr>
          <w:rFonts w:ascii="Garamond" w:hAnsi="Garamond"/>
          <w:smallCaps/>
          <w:lang w:val="en-US"/>
        </w:rPr>
        <w:t xml:space="preserve">Armed </w:t>
      </w:r>
      <w:proofErr w:type="spellStart"/>
      <w:r w:rsidR="00CB0680" w:rsidRPr="005602A7">
        <w:rPr>
          <w:rFonts w:ascii="Garamond" w:hAnsi="Garamond"/>
          <w:smallCaps/>
          <w:lang w:val="en-US"/>
        </w:rPr>
        <w:t>Invervention</w:t>
      </w:r>
      <w:proofErr w:type="spellEnd"/>
      <w:r w:rsidR="00CB0680" w:rsidRPr="005602A7">
        <w:rPr>
          <w:rFonts w:ascii="Garamond" w:hAnsi="Garamond"/>
          <w:smallCaps/>
          <w:lang w:val="en-US"/>
        </w:rPr>
        <w:t xml:space="preserve"> and Consent</w:t>
      </w:r>
      <w:r w:rsidR="00CB0680" w:rsidRPr="005602A7">
        <w:rPr>
          <w:rFonts w:ascii="Garamond" w:hAnsi="Garamond"/>
          <w:lang w:val="en-US"/>
        </w:rPr>
        <w:t xml:space="preserve"> (Dino </w:t>
      </w:r>
      <w:proofErr w:type="spellStart"/>
      <w:r w:rsidR="00CB0680" w:rsidRPr="005602A7">
        <w:rPr>
          <w:rFonts w:ascii="Garamond" w:hAnsi="Garamond"/>
          <w:lang w:val="en-US"/>
        </w:rPr>
        <w:t>Kritsiotis</w:t>
      </w:r>
      <w:proofErr w:type="spellEnd"/>
      <w:r w:rsidR="00CB0680" w:rsidRPr="005602A7">
        <w:rPr>
          <w:rFonts w:ascii="Garamond" w:hAnsi="Garamond"/>
          <w:lang w:val="en-US"/>
        </w:rPr>
        <w:t xml:space="preserve">, Olivier Corten, Gregory H Fox, CUP). </w:t>
      </w:r>
    </w:p>
  </w:footnote>
  <w:footnote w:id="197">
    <w:p w14:paraId="0F5BFBAC" w14:textId="7D78B356" w:rsidR="00A262A5" w:rsidRPr="005602A7" w:rsidRDefault="00A262A5"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proofErr w:type="spellStart"/>
      <w:r w:rsidR="004B043D" w:rsidRPr="005602A7">
        <w:rPr>
          <w:rFonts w:ascii="Garamond" w:hAnsi="Garamond" w:cs="Times New Roman"/>
          <w:lang w:val="en-US"/>
        </w:rPr>
        <w:t>D'Aspremont</w:t>
      </w:r>
      <w:proofErr w:type="spellEnd"/>
      <w:r w:rsidR="004B043D" w:rsidRPr="005602A7">
        <w:rPr>
          <w:rFonts w:ascii="Garamond" w:hAnsi="Garamond" w:cs="Times New Roman"/>
          <w:lang w:val="en-US"/>
        </w:rPr>
        <w:t xml:space="preserve">, </w:t>
      </w:r>
      <w:r w:rsidR="00F12B63" w:rsidRPr="005602A7">
        <w:rPr>
          <w:rFonts w:ascii="Garamond" w:hAnsi="Garamond" w:cs="Times New Roman"/>
          <w:i/>
          <w:iCs/>
          <w:lang w:val="en-US"/>
        </w:rPr>
        <w:t xml:space="preserve">Legitimacy of Governments in the Age of Democracy, </w:t>
      </w:r>
      <w:r w:rsidR="004B043D" w:rsidRPr="005602A7">
        <w:rPr>
          <w:rFonts w:ascii="Garamond" w:hAnsi="Garamond" w:cs="Times New Roman"/>
          <w:i/>
          <w:iCs/>
          <w:lang w:val="en-US"/>
        </w:rPr>
        <w:t xml:space="preserve">supra </w:t>
      </w:r>
      <w:r w:rsidR="004B043D" w:rsidRPr="005602A7">
        <w:rPr>
          <w:rFonts w:ascii="Garamond" w:hAnsi="Garamond" w:cs="Times New Roman"/>
          <w:lang w:val="en-US"/>
        </w:rPr>
        <w:t>note 179 at</w:t>
      </w:r>
      <w:r w:rsidR="00BD0616" w:rsidRPr="005602A7">
        <w:rPr>
          <w:rFonts w:ascii="Garamond" w:hAnsi="Garamond" w:cs="Times New Roman"/>
          <w:lang w:val="en-US"/>
        </w:rPr>
        <w:t xml:space="preserve"> </w:t>
      </w:r>
      <w:r w:rsidRPr="005602A7">
        <w:rPr>
          <w:rFonts w:ascii="Garamond" w:hAnsi="Garamond" w:cs="Times New Roman"/>
          <w:lang w:val="en-US"/>
        </w:rPr>
        <w:t>907.</w:t>
      </w:r>
    </w:p>
  </w:footnote>
  <w:footnote w:id="198">
    <w:p w14:paraId="0A165C45" w14:textId="2A0D6877" w:rsidR="003A6AED" w:rsidRPr="005602A7" w:rsidRDefault="003A6AED"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069B6" w:rsidRPr="005602A7">
        <w:rPr>
          <w:rFonts w:ascii="Garamond" w:hAnsi="Garamond"/>
        </w:rPr>
        <w:t xml:space="preserve">Justin Cole and Oona A Hathaway, Should the Rebels be Recognized as the New Government of </w:t>
      </w:r>
      <w:proofErr w:type="spellStart"/>
      <w:r w:rsidR="00E069B6" w:rsidRPr="005602A7">
        <w:rPr>
          <w:rFonts w:ascii="Garamond" w:hAnsi="Garamond"/>
        </w:rPr>
        <w:t>Syira</w:t>
      </w:r>
      <w:proofErr w:type="spellEnd"/>
      <w:r w:rsidR="00E069B6" w:rsidRPr="005602A7">
        <w:rPr>
          <w:rFonts w:ascii="Garamond" w:hAnsi="Garamond"/>
        </w:rPr>
        <w:t xml:space="preserve">? How International Law Could Provide a Clearer Answer, </w:t>
      </w:r>
      <w:r w:rsidR="00E069B6" w:rsidRPr="005602A7">
        <w:rPr>
          <w:rFonts w:ascii="Garamond" w:hAnsi="Garamond"/>
          <w:smallCaps/>
        </w:rPr>
        <w:t>Just Security</w:t>
      </w:r>
      <w:r w:rsidR="00E069B6" w:rsidRPr="005602A7">
        <w:rPr>
          <w:rFonts w:ascii="Garamond" w:hAnsi="Garamond"/>
        </w:rPr>
        <w:t xml:space="preserve"> (Jan 6., 2025) </w:t>
      </w:r>
      <w:r w:rsidRPr="005602A7">
        <w:rPr>
          <w:rFonts w:ascii="Garamond" w:hAnsi="Garamond"/>
        </w:rPr>
        <w:t>https://www.justsecurity.org/106124/recognition-government-syria-international-law/</w:t>
      </w:r>
      <w:r w:rsidR="00E069B6" w:rsidRPr="005602A7">
        <w:rPr>
          <w:rFonts w:ascii="Garamond" w:hAnsi="Garamond"/>
        </w:rPr>
        <w:t>.</w:t>
      </w:r>
    </w:p>
  </w:footnote>
  <w:footnote w:id="199">
    <w:p w14:paraId="27F99C49" w14:textId="0C9A9988" w:rsidR="00D61279" w:rsidRPr="005602A7" w:rsidRDefault="00D61279"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Pr="005602A7">
        <w:rPr>
          <w:rFonts w:ascii="Garamond" w:hAnsi="Garamond" w:cs="Times New Roman"/>
          <w:lang w:val="en-US"/>
        </w:rPr>
        <w:t>Doswald</w:t>
      </w:r>
      <w:proofErr w:type="spellEnd"/>
      <w:r w:rsidRPr="005602A7">
        <w:rPr>
          <w:rFonts w:ascii="Garamond" w:hAnsi="Garamond" w:cs="Times New Roman"/>
          <w:lang w:val="en-US"/>
        </w:rPr>
        <w:t xml:space="preserve">-Beck, </w:t>
      </w:r>
      <w:r w:rsidR="00AB56E8" w:rsidRPr="005602A7">
        <w:rPr>
          <w:rFonts w:ascii="Garamond" w:hAnsi="Garamond" w:cs="Times New Roman"/>
          <w:i/>
          <w:iCs/>
          <w:lang w:val="en-US"/>
        </w:rPr>
        <w:t xml:space="preserve">The Legal Validity of Military Intervention by Invitation of the Government, </w:t>
      </w:r>
      <w:r w:rsidR="00492BC1" w:rsidRPr="005602A7">
        <w:rPr>
          <w:rFonts w:ascii="Garamond" w:hAnsi="Garamond" w:cs="Times New Roman"/>
          <w:i/>
          <w:iCs/>
          <w:lang w:val="en-US"/>
        </w:rPr>
        <w:t xml:space="preserve">supra </w:t>
      </w:r>
      <w:r w:rsidR="00492BC1" w:rsidRPr="005602A7">
        <w:rPr>
          <w:rFonts w:ascii="Garamond" w:hAnsi="Garamond" w:cs="Times New Roman"/>
          <w:lang w:val="en-US"/>
        </w:rPr>
        <w:t xml:space="preserve">note 158 at </w:t>
      </w:r>
      <w:r w:rsidRPr="005602A7">
        <w:rPr>
          <w:rFonts w:ascii="Garamond" w:hAnsi="Garamond" w:cs="Times New Roman"/>
        </w:rPr>
        <w:t xml:space="preserve">197-199. </w:t>
      </w:r>
    </w:p>
  </w:footnote>
  <w:footnote w:id="200">
    <w:p w14:paraId="6F268556" w14:textId="0D2D9936" w:rsidR="00D61279" w:rsidRPr="005602A7" w:rsidRDefault="00D6127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D06361" w:rsidRPr="005602A7">
        <w:rPr>
          <w:rFonts w:ascii="Garamond" w:hAnsi="Garamond"/>
        </w:rPr>
        <w:t xml:space="preserve">Rebecca Barber, How Should Governments Decide Whether or not to Recognize Other Governments, and Can the General Assembly Help? </w:t>
      </w:r>
      <w:r w:rsidR="00E069B6" w:rsidRPr="005602A7">
        <w:rPr>
          <w:rFonts w:ascii="Garamond" w:hAnsi="Garamond"/>
          <w:smallCaps/>
        </w:rPr>
        <w:t xml:space="preserve">EJIL Talk! </w:t>
      </w:r>
      <w:r w:rsidR="00E069B6" w:rsidRPr="005602A7">
        <w:rPr>
          <w:rFonts w:ascii="Garamond" w:hAnsi="Garamond"/>
        </w:rPr>
        <w:t>(Dec. 6, 2021) https://www.ejiltalk.org/how-should-governments-decide-whether-or-not-to-recognise-other-governments-and-can-the-general-assembly-help/.</w:t>
      </w:r>
      <w:r w:rsidRPr="005602A7">
        <w:rPr>
          <w:rFonts w:ascii="Garamond" w:hAnsi="Garamond"/>
        </w:rPr>
        <w:t xml:space="preserve"> </w:t>
      </w:r>
    </w:p>
  </w:footnote>
  <w:footnote w:id="201">
    <w:p w14:paraId="33D62CBA" w14:textId="744AA69D" w:rsidR="00D61279" w:rsidRPr="005602A7" w:rsidRDefault="00D6127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Hathaway and </w:t>
      </w:r>
      <w:r w:rsidR="00E069B6" w:rsidRPr="005602A7">
        <w:rPr>
          <w:rFonts w:ascii="Garamond" w:hAnsi="Garamond"/>
          <w:lang w:val="en-US"/>
        </w:rPr>
        <w:t xml:space="preserve">Cole, Recognition Rules, </w:t>
      </w:r>
      <w:r w:rsidR="00E069B6" w:rsidRPr="005602A7">
        <w:rPr>
          <w:rFonts w:ascii="Garamond" w:hAnsi="Garamond"/>
          <w:i/>
          <w:iCs/>
          <w:lang w:val="en-US"/>
        </w:rPr>
        <w:t>supra</w:t>
      </w:r>
      <w:r w:rsidR="00E069B6" w:rsidRPr="005602A7">
        <w:rPr>
          <w:rFonts w:ascii="Garamond" w:hAnsi="Garamond"/>
          <w:lang w:val="en-US"/>
        </w:rPr>
        <w:t xml:space="preserve"> note 171, at </w:t>
      </w:r>
      <w:r w:rsidRPr="005602A7">
        <w:rPr>
          <w:rFonts w:ascii="Garamond" w:hAnsi="Garamond"/>
          <w:lang w:val="en-US"/>
        </w:rPr>
        <w:t>13</w:t>
      </w:r>
      <w:r w:rsidR="00E069B6" w:rsidRPr="005602A7">
        <w:rPr>
          <w:rFonts w:ascii="Garamond" w:hAnsi="Garamond"/>
          <w:lang w:val="en-US"/>
        </w:rPr>
        <w:t>.</w:t>
      </w:r>
      <w:r w:rsidRPr="005602A7">
        <w:rPr>
          <w:rFonts w:ascii="Garamond" w:hAnsi="Garamond"/>
          <w:lang w:val="en-US"/>
        </w:rPr>
        <w:t xml:space="preserve"> </w:t>
      </w:r>
    </w:p>
  </w:footnote>
  <w:footnote w:id="202">
    <w:p w14:paraId="3A7EB868" w14:textId="3749FDC2" w:rsidR="00D61279" w:rsidRPr="005602A7" w:rsidRDefault="00D6127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069B6" w:rsidRPr="005602A7">
        <w:rPr>
          <w:rFonts w:ascii="Garamond" w:hAnsi="Garamond"/>
          <w:lang w:val="en-US"/>
        </w:rPr>
        <w:t xml:space="preserve">Hathaway and Cole, Recognition Rules, </w:t>
      </w:r>
      <w:r w:rsidR="00E069B6" w:rsidRPr="005602A7">
        <w:rPr>
          <w:rFonts w:ascii="Garamond" w:hAnsi="Garamond"/>
          <w:i/>
          <w:iCs/>
          <w:lang w:val="en-US"/>
        </w:rPr>
        <w:t>supra</w:t>
      </w:r>
      <w:r w:rsidR="00E069B6" w:rsidRPr="005602A7">
        <w:rPr>
          <w:rFonts w:ascii="Garamond" w:hAnsi="Garamond"/>
          <w:lang w:val="en-US"/>
        </w:rPr>
        <w:t xml:space="preserve"> note 171, at </w:t>
      </w:r>
      <w:r w:rsidRPr="005602A7">
        <w:rPr>
          <w:rFonts w:ascii="Garamond" w:hAnsi="Garamond"/>
          <w:lang w:val="en-US"/>
        </w:rPr>
        <w:t xml:space="preserve">13 </w:t>
      </w:r>
    </w:p>
  </w:footnote>
  <w:footnote w:id="203">
    <w:p w14:paraId="13820CE1" w14:textId="10CE5D74" w:rsidR="00D61279" w:rsidRPr="005602A7" w:rsidRDefault="00D61279"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069B6" w:rsidRPr="005602A7">
        <w:rPr>
          <w:rFonts w:ascii="Garamond" w:hAnsi="Garamond"/>
        </w:rPr>
        <w:t>Barber,</w:t>
      </w:r>
      <w:r w:rsidR="00E069B6" w:rsidRPr="005602A7">
        <w:rPr>
          <w:rFonts w:ascii="Garamond" w:hAnsi="Garamond"/>
          <w:i/>
          <w:iCs/>
        </w:rPr>
        <w:t xml:space="preserve"> supra</w:t>
      </w:r>
      <w:r w:rsidR="00E069B6" w:rsidRPr="005602A7">
        <w:rPr>
          <w:rFonts w:ascii="Garamond" w:hAnsi="Garamond"/>
        </w:rPr>
        <w:t xml:space="preserve"> note 199. </w:t>
      </w:r>
    </w:p>
  </w:footnote>
  <w:footnote w:id="204">
    <w:p w14:paraId="13E120AC" w14:textId="70831713" w:rsidR="00B75F64" w:rsidRPr="005602A7" w:rsidRDefault="00B75F64"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E069B6" w:rsidRPr="005602A7">
        <w:rPr>
          <w:rFonts w:ascii="Garamond" w:hAnsi="Garamond"/>
          <w:lang w:val="en-US"/>
        </w:rPr>
        <w:t xml:space="preserve">Hathaway and Cole, Recognition Rules, </w:t>
      </w:r>
      <w:r w:rsidR="00E069B6" w:rsidRPr="005602A7">
        <w:rPr>
          <w:rFonts w:ascii="Garamond" w:hAnsi="Garamond"/>
          <w:i/>
          <w:iCs/>
          <w:lang w:val="en-US"/>
        </w:rPr>
        <w:t>supra</w:t>
      </w:r>
      <w:r w:rsidR="00E069B6" w:rsidRPr="005602A7">
        <w:rPr>
          <w:rFonts w:ascii="Garamond" w:hAnsi="Garamond"/>
          <w:lang w:val="en-US"/>
        </w:rPr>
        <w:t xml:space="preserve"> note 171, at 6. </w:t>
      </w:r>
    </w:p>
  </w:footnote>
  <w:footnote w:id="205">
    <w:p w14:paraId="198E5A73" w14:textId="32B462AE" w:rsidR="00E72E5A" w:rsidRPr="005602A7" w:rsidRDefault="00E72E5A" w:rsidP="001340AF">
      <w:pPr>
        <w:pStyle w:val="FootnoteText"/>
        <w:jc w:val="both"/>
        <w:rPr>
          <w:rFonts w:ascii="Garamond" w:hAnsi="Garamond"/>
          <w:lang w:val="en-US"/>
        </w:rPr>
      </w:pPr>
      <w:r w:rsidRPr="005602A7">
        <w:rPr>
          <w:rStyle w:val="FootnoteReference"/>
          <w:rFonts w:ascii="Garamond" w:hAnsi="Garamond"/>
        </w:rPr>
        <w:footnoteRef/>
      </w:r>
      <w:r w:rsidR="001340AF" w:rsidRPr="005602A7">
        <w:rPr>
          <w:rFonts w:ascii="Garamond" w:hAnsi="Garamond"/>
        </w:rPr>
        <w:t xml:space="preserve"> Benjamin </w:t>
      </w:r>
      <w:proofErr w:type="spellStart"/>
      <w:r w:rsidR="001340AF" w:rsidRPr="005602A7">
        <w:rPr>
          <w:rFonts w:ascii="Garamond" w:hAnsi="Garamond"/>
        </w:rPr>
        <w:t>Nussberger</w:t>
      </w:r>
      <w:proofErr w:type="spellEnd"/>
      <w:r w:rsidR="001340AF" w:rsidRPr="005602A7">
        <w:rPr>
          <w:rFonts w:ascii="Garamond" w:hAnsi="Garamond"/>
        </w:rPr>
        <w:t xml:space="preserve">, </w:t>
      </w:r>
      <w:r w:rsidR="001340AF" w:rsidRPr="005602A7">
        <w:rPr>
          <w:rFonts w:ascii="Garamond" w:hAnsi="Garamond"/>
          <w:i/>
          <w:iCs/>
        </w:rPr>
        <w:t>Post-Election Crisis in The Gambia, the Security Council and the Threat of the Use of Force</w:t>
      </w:r>
      <w:r w:rsidR="001340AF" w:rsidRPr="005602A7">
        <w:rPr>
          <w:rFonts w:ascii="Garamond" w:hAnsi="Garamond"/>
        </w:rPr>
        <w:t xml:space="preserve">, </w:t>
      </w:r>
      <w:r w:rsidR="001340AF" w:rsidRPr="005602A7">
        <w:rPr>
          <w:rFonts w:ascii="Garamond" w:hAnsi="Garamond"/>
          <w:smallCaps/>
        </w:rPr>
        <w:t>EJIL Talk!</w:t>
      </w:r>
      <w:r w:rsidR="001340AF" w:rsidRPr="005602A7">
        <w:rPr>
          <w:rFonts w:ascii="Garamond" w:hAnsi="Garamond"/>
        </w:rPr>
        <w:t xml:space="preserve"> (Feb. 17, 2017)</w:t>
      </w:r>
      <w:r w:rsidRPr="005602A7">
        <w:rPr>
          <w:rFonts w:ascii="Garamond" w:hAnsi="Garamond"/>
        </w:rPr>
        <w:t xml:space="preserve"> </w:t>
      </w:r>
      <w:r w:rsidR="001340AF" w:rsidRPr="005602A7">
        <w:rPr>
          <w:rFonts w:ascii="Garamond" w:hAnsi="Garamond"/>
        </w:rPr>
        <w:t>https://www.ejiltalk.org/post-election-crisis-in-the-gambia-the-security-council-and-the-threat-to-use-force/</w:t>
      </w:r>
      <w:r w:rsidRPr="005602A7">
        <w:rPr>
          <w:rFonts w:ascii="Garamond" w:hAnsi="Garamond"/>
        </w:rPr>
        <w:t>;</w:t>
      </w:r>
      <w:r w:rsidR="001340AF" w:rsidRPr="005602A7">
        <w:rPr>
          <w:rFonts w:ascii="Garamond" w:hAnsi="Garamond"/>
        </w:rPr>
        <w:t xml:space="preserve"> Antenor Hallo de Wolf, </w:t>
      </w:r>
      <w:r w:rsidR="001340AF" w:rsidRPr="005602A7">
        <w:rPr>
          <w:rFonts w:ascii="Garamond" w:hAnsi="Garamond"/>
          <w:i/>
          <w:iCs/>
        </w:rPr>
        <w:t xml:space="preserve">Rattling Sabers to Save Democracy in The </w:t>
      </w:r>
      <w:r w:rsidRPr="005602A7">
        <w:rPr>
          <w:rFonts w:ascii="Garamond" w:hAnsi="Garamond"/>
          <w:i/>
          <w:iCs/>
        </w:rPr>
        <w:t xml:space="preserve"> </w:t>
      </w:r>
      <w:r w:rsidR="001340AF" w:rsidRPr="005602A7">
        <w:rPr>
          <w:rFonts w:ascii="Garamond" w:hAnsi="Garamond"/>
          <w:i/>
          <w:iCs/>
        </w:rPr>
        <w:t>Gambia,</w:t>
      </w:r>
      <w:r w:rsidR="001340AF" w:rsidRPr="005602A7">
        <w:rPr>
          <w:rFonts w:ascii="Garamond" w:hAnsi="Garamond"/>
        </w:rPr>
        <w:t xml:space="preserve"> </w:t>
      </w:r>
      <w:r w:rsidR="001340AF" w:rsidRPr="005602A7">
        <w:rPr>
          <w:rFonts w:ascii="Garamond" w:hAnsi="Garamond"/>
          <w:smallCaps/>
        </w:rPr>
        <w:t>EJIL Talk!</w:t>
      </w:r>
      <w:r w:rsidR="001340AF" w:rsidRPr="005602A7">
        <w:rPr>
          <w:rFonts w:ascii="Garamond" w:hAnsi="Garamond"/>
        </w:rPr>
        <w:t xml:space="preserve"> (Feb. 1, 2017) </w:t>
      </w:r>
      <w:r w:rsidRPr="005602A7">
        <w:rPr>
          <w:rFonts w:ascii="Garamond" w:hAnsi="Garamond"/>
        </w:rPr>
        <w:t>https://www.ejiltalk.org/rattling-sabers-to-save-democracy-in-the-gambia/</w:t>
      </w:r>
    </w:p>
  </w:footnote>
  <w:footnote w:id="206">
    <w:p w14:paraId="6939D3DD" w14:textId="2AB030F3" w:rsidR="00C272DB" w:rsidRPr="005602A7" w:rsidRDefault="00C272DB"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proofErr w:type="spellStart"/>
      <w:r w:rsidR="001340AF" w:rsidRPr="005602A7">
        <w:rPr>
          <w:rFonts w:ascii="Garamond" w:hAnsi="Garamond"/>
        </w:rPr>
        <w:t>Nussberger</w:t>
      </w:r>
      <w:proofErr w:type="spellEnd"/>
      <w:r w:rsidR="001340AF" w:rsidRPr="005602A7">
        <w:rPr>
          <w:rFonts w:ascii="Garamond" w:hAnsi="Garamond"/>
        </w:rPr>
        <w:t xml:space="preserve">, supra note 204. </w:t>
      </w:r>
    </w:p>
  </w:footnote>
  <w:footnote w:id="207">
    <w:p w14:paraId="1A988931" w14:textId="5AE2666C" w:rsidR="00A262A5" w:rsidRPr="005602A7" w:rsidRDefault="00A262A5"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r w:rsidR="00492BC1" w:rsidRPr="005602A7">
        <w:rPr>
          <w:rFonts w:ascii="Garamond" w:eastAsia="Times New Roman" w:hAnsi="Garamond" w:cs="Times New Roman"/>
          <w:kern w:val="0"/>
          <w:lang w:val="en-US"/>
          <w14:ligatures w14:val="none"/>
        </w:rPr>
        <w:t xml:space="preserve">Hathaway et al, </w:t>
      </w:r>
      <w:r w:rsidR="00F12B63" w:rsidRPr="005602A7">
        <w:rPr>
          <w:rFonts w:ascii="Garamond" w:eastAsia="Times New Roman" w:hAnsi="Garamond" w:cs="Times New Roman"/>
          <w:i/>
          <w:iCs/>
          <w:kern w:val="0"/>
          <w:lang w:val="en-US"/>
          <w14:ligatures w14:val="none"/>
        </w:rPr>
        <w:t xml:space="preserve">Consent-Based Humanitarian Intervention, </w:t>
      </w:r>
      <w:r w:rsidR="00492BC1" w:rsidRPr="005602A7">
        <w:rPr>
          <w:rFonts w:ascii="Garamond" w:eastAsia="Times New Roman" w:hAnsi="Garamond" w:cs="Times New Roman"/>
          <w:i/>
          <w:iCs/>
          <w:kern w:val="0"/>
          <w:lang w:val="en-US"/>
          <w14:ligatures w14:val="none"/>
        </w:rPr>
        <w:t xml:space="preserve">supra </w:t>
      </w:r>
      <w:r w:rsidR="00492BC1" w:rsidRPr="005602A7">
        <w:rPr>
          <w:rFonts w:ascii="Garamond" w:eastAsia="Times New Roman" w:hAnsi="Garamond" w:cs="Times New Roman"/>
          <w:kern w:val="0"/>
          <w:lang w:val="en-US"/>
          <w14:ligatures w14:val="none"/>
        </w:rPr>
        <w:t xml:space="preserve">note 154 at </w:t>
      </w:r>
      <w:r w:rsidRPr="005602A7">
        <w:rPr>
          <w:rFonts w:ascii="Garamond" w:hAnsi="Garamond" w:cs="Times New Roman"/>
          <w:lang w:val="en-US"/>
        </w:rPr>
        <w:t>546</w:t>
      </w:r>
      <w:r w:rsidR="00D80AAA" w:rsidRPr="005602A7">
        <w:rPr>
          <w:rFonts w:ascii="Garamond" w:hAnsi="Garamond" w:cs="Times New Roman"/>
          <w:lang w:val="en-US"/>
        </w:rPr>
        <w:t>, 549</w:t>
      </w:r>
      <w:r w:rsidRPr="005602A7">
        <w:rPr>
          <w:rFonts w:ascii="Garamond" w:hAnsi="Garamond" w:cs="Times New Roman"/>
          <w:lang w:val="en-US"/>
        </w:rPr>
        <w:t>.</w:t>
      </w:r>
    </w:p>
  </w:footnote>
  <w:footnote w:id="208">
    <w:p w14:paraId="68D3E28F" w14:textId="536AD205"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9B7A76" w:rsidRPr="005602A7">
        <w:rPr>
          <w:rFonts w:ascii="Garamond" w:hAnsi="Garamond"/>
          <w:lang w:val="en-US"/>
        </w:rPr>
        <w:t xml:space="preserve">Corten, </w:t>
      </w:r>
      <w:r w:rsidR="00D06361" w:rsidRPr="005602A7">
        <w:rPr>
          <w:rFonts w:ascii="Garamond" w:hAnsi="Garamond"/>
          <w:i/>
          <w:iCs/>
          <w:lang w:val="en-US"/>
        </w:rPr>
        <w:t xml:space="preserve">Intervention by Invitation, </w:t>
      </w:r>
      <w:r w:rsidR="004B043D" w:rsidRPr="005602A7">
        <w:rPr>
          <w:rFonts w:ascii="Garamond" w:hAnsi="Garamond"/>
          <w:i/>
          <w:iCs/>
          <w:lang w:val="en-US"/>
        </w:rPr>
        <w:t xml:space="preserve">supra </w:t>
      </w:r>
      <w:r w:rsidR="004B043D" w:rsidRPr="005602A7">
        <w:rPr>
          <w:rFonts w:ascii="Garamond" w:hAnsi="Garamond"/>
          <w:lang w:val="en-US"/>
        </w:rPr>
        <w:t xml:space="preserve">note 195 at </w:t>
      </w:r>
      <w:r w:rsidRPr="005602A7">
        <w:rPr>
          <w:rFonts w:ascii="Garamond" w:hAnsi="Garamond"/>
          <w:lang w:val="en-US"/>
        </w:rPr>
        <w:t>109</w:t>
      </w:r>
      <w:r w:rsidR="00CB0680" w:rsidRPr="005602A7">
        <w:rPr>
          <w:rFonts w:ascii="Garamond" w:hAnsi="Garamond"/>
          <w:lang w:val="en-US"/>
        </w:rPr>
        <w:t>.</w:t>
      </w:r>
      <w:r w:rsidRPr="005602A7">
        <w:rPr>
          <w:rFonts w:ascii="Garamond" w:hAnsi="Garamond"/>
          <w:lang w:val="en-US"/>
        </w:rPr>
        <w:t xml:space="preserve"> </w:t>
      </w:r>
    </w:p>
  </w:footnote>
  <w:footnote w:id="209">
    <w:p w14:paraId="23A765E9" w14:textId="2E29DC74"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4B043D" w:rsidRPr="005602A7">
        <w:rPr>
          <w:rFonts w:ascii="Garamond" w:hAnsi="Garamond"/>
        </w:rPr>
        <w:t>ARSIWA</w:t>
      </w:r>
      <w:r w:rsidRPr="005602A7">
        <w:rPr>
          <w:rFonts w:ascii="Garamond" w:hAnsi="Garamond"/>
        </w:rPr>
        <w:t xml:space="preserve"> paras 4-6</w:t>
      </w:r>
      <w:r w:rsidR="00F71040" w:rsidRPr="005602A7">
        <w:rPr>
          <w:rFonts w:ascii="Garamond" w:hAnsi="Garamond"/>
        </w:rPr>
        <w:t xml:space="preserve">; </w:t>
      </w:r>
      <w:proofErr w:type="spellStart"/>
      <w:r w:rsidR="002F7F8D" w:rsidRPr="005602A7">
        <w:rPr>
          <w:rFonts w:ascii="Garamond" w:hAnsi="Garamond"/>
          <w:smallCaps/>
        </w:rPr>
        <w:t>Hasar</w:t>
      </w:r>
      <w:proofErr w:type="spellEnd"/>
      <w:r w:rsidR="00F12B63" w:rsidRPr="005602A7">
        <w:rPr>
          <w:rFonts w:ascii="Garamond" w:hAnsi="Garamond"/>
          <w:smallCaps/>
        </w:rPr>
        <w:t>, State Consent to Foreign Military Intervention during Civil Wars,</w:t>
      </w:r>
      <w:r w:rsidR="004B043D" w:rsidRPr="005602A7">
        <w:rPr>
          <w:rFonts w:ascii="Garamond" w:hAnsi="Garamond"/>
          <w:smallCaps/>
        </w:rPr>
        <w:t xml:space="preserve"> </w:t>
      </w:r>
      <w:r w:rsidR="004B043D" w:rsidRPr="005602A7">
        <w:rPr>
          <w:rFonts w:ascii="Garamond" w:hAnsi="Garamond" w:cs="Times New Roman"/>
          <w:i/>
          <w:iCs/>
          <w:lang w:val="en-US"/>
        </w:rPr>
        <w:t xml:space="preserve">supra </w:t>
      </w:r>
      <w:r w:rsidR="004B043D" w:rsidRPr="005602A7">
        <w:rPr>
          <w:rFonts w:ascii="Garamond" w:hAnsi="Garamond" w:cs="Times New Roman"/>
          <w:lang w:val="en-US"/>
        </w:rPr>
        <w:t>note 158 at</w:t>
      </w:r>
      <w:r w:rsidR="004B043D" w:rsidRPr="005602A7">
        <w:rPr>
          <w:rFonts w:ascii="Garamond" w:hAnsi="Garamond"/>
        </w:rPr>
        <w:t xml:space="preserve"> </w:t>
      </w:r>
      <w:r w:rsidRPr="005602A7">
        <w:rPr>
          <w:rFonts w:ascii="Garamond" w:hAnsi="Garamond"/>
        </w:rPr>
        <w:t>53</w:t>
      </w:r>
      <w:r w:rsidR="009E4386" w:rsidRPr="005602A7">
        <w:rPr>
          <w:rFonts w:ascii="Garamond" w:hAnsi="Garamond"/>
        </w:rPr>
        <w:t>.</w:t>
      </w:r>
    </w:p>
  </w:footnote>
  <w:footnote w:id="210">
    <w:p w14:paraId="00493677" w14:textId="0E524D9C"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CB0680" w:rsidRPr="005602A7">
        <w:rPr>
          <w:rFonts w:ascii="Garamond" w:hAnsi="Garamond"/>
        </w:rPr>
        <w:t xml:space="preserve">Vienna Convention on the Law of Treaties, 1969, </w:t>
      </w:r>
      <w:r w:rsidR="00E035F4" w:rsidRPr="005602A7">
        <w:rPr>
          <w:rFonts w:ascii="Garamond" w:hAnsi="Garamond"/>
        </w:rPr>
        <w:t xml:space="preserve">Part V. </w:t>
      </w:r>
    </w:p>
  </w:footnote>
  <w:footnote w:id="211">
    <w:p w14:paraId="13BB2FB3" w14:textId="6C8F2A98" w:rsidR="00A262A5" w:rsidRPr="005602A7" w:rsidRDefault="00A262A5" w:rsidP="001340AF">
      <w:pPr>
        <w:pStyle w:val="FootnoteText"/>
        <w:jc w:val="both"/>
        <w:rPr>
          <w:rFonts w:ascii="Garamond" w:eastAsia="Times New Roman" w:hAnsi="Garamond" w:cs="Times New Roman"/>
          <w:kern w:val="0"/>
          <w:lang w:val="en-US"/>
          <w14:ligatures w14:val="none"/>
        </w:rPr>
      </w:pPr>
      <w:r w:rsidRPr="005602A7">
        <w:rPr>
          <w:rStyle w:val="FootnoteReference"/>
          <w:rFonts w:ascii="Garamond" w:hAnsi="Garamond"/>
        </w:rPr>
        <w:footnoteRef/>
      </w:r>
      <w:r w:rsidRPr="005602A7">
        <w:rPr>
          <w:rFonts w:ascii="Garamond" w:hAnsi="Garamond"/>
        </w:rPr>
        <w:t xml:space="preserve"> </w:t>
      </w:r>
      <w:proofErr w:type="spellStart"/>
      <w:r w:rsidR="004B043D" w:rsidRPr="005602A7">
        <w:rPr>
          <w:rFonts w:ascii="Garamond" w:hAnsi="Garamond"/>
          <w:smallCaps/>
        </w:rPr>
        <w:t>Hasar</w:t>
      </w:r>
      <w:proofErr w:type="spellEnd"/>
      <w:r w:rsidR="004B043D" w:rsidRPr="005602A7">
        <w:rPr>
          <w:rFonts w:ascii="Garamond" w:hAnsi="Garamond"/>
          <w:smallCaps/>
        </w:rPr>
        <w:t xml:space="preserve"> </w:t>
      </w:r>
      <w:r w:rsidR="004B043D" w:rsidRPr="005602A7">
        <w:rPr>
          <w:rFonts w:ascii="Garamond" w:hAnsi="Garamond" w:cs="Times New Roman"/>
          <w:i/>
          <w:iCs/>
          <w:lang w:val="en-US"/>
        </w:rPr>
        <w:t xml:space="preserve">supra </w:t>
      </w:r>
      <w:r w:rsidR="004B043D" w:rsidRPr="005602A7">
        <w:rPr>
          <w:rFonts w:ascii="Garamond" w:hAnsi="Garamond" w:cs="Times New Roman"/>
          <w:lang w:val="en-US"/>
        </w:rPr>
        <w:t>note 158 at</w:t>
      </w:r>
      <w:r w:rsidR="004B043D" w:rsidRPr="005602A7">
        <w:rPr>
          <w:rFonts w:ascii="Garamond" w:hAnsi="Garamond"/>
        </w:rPr>
        <w:t xml:space="preserve"> </w:t>
      </w:r>
      <w:r w:rsidRPr="005602A7">
        <w:rPr>
          <w:rFonts w:ascii="Garamond" w:eastAsia="Times New Roman" w:hAnsi="Garamond" w:cs="Times New Roman"/>
          <w:kern w:val="0"/>
          <w:lang w:val="en-US"/>
          <w14:ligatures w14:val="none"/>
        </w:rPr>
        <w:t>55</w:t>
      </w:r>
    </w:p>
  </w:footnote>
  <w:footnote w:id="212">
    <w:p w14:paraId="0F21AFE9" w14:textId="77777777" w:rsidR="00A262A5" w:rsidRPr="005602A7" w:rsidRDefault="00A262A5" w:rsidP="001340AF">
      <w:pPr>
        <w:pStyle w:val="FootnoteText"/>
        <w:jc w:val="both"/>
        <w:rPr>
          <w:rFonts w:ascii="Garamond" w:eastAsia="Times New Roman" w:hAnsi="Garamond" w:cs="Times New Roman"/>
          <w:kern w:val="0"/>
          <w:lang w:val="en-US"/>
          <w14:ligatures w14:val="none"/>
        </w:rPr>
      </w:pPr>
      <w:r w:rsidRPr="005602A7">
        <w:rPr>
          <w:rStyle w:val="FootnoteReference"/>
          <w:rFonts w:ascii="Garamond" w:hAnsi="Garamond"/>
        </w:rPr>
        <w:footnoteRef/>
      </w:r>
      <w:r w:rsidRPr="005602A7">
        <w:rPr>
          <w:rStyle w:val="FootnoteReference"/>
          <w:rFonts w:ascii="Garamond" w:hAnsi="Garamond"/>
        </w:rPr>
        <w:t xml:space="preserve"> </w:t>
      </w:r>
      <w:r w:rsidRPr="005602A7">
        <w:rPr>
          <w:rFonts w:ascii="Garamond" w:eastAsia="Times New Roman" w:hAnsi="Garamond" w:cs="Times New Roman"/>
          <w:kern w:val="0"/>
          <w:lang w:val="en-US"/>
          <w14:ligatures w14:val="none"/>
        </w:rPr>
        <w:t>UN General Assembly Resolution on the Definition of Aggression which qualifies the use of armed forces stationed in another State in agreement with the host State ‘in contravention of the conditions provided for in the agreement or any extension of their presence in such territory beyond the termination of the agreement’ as an act of aggression - Definition of Aggression (n 3) Article 3(e).</w:t>
      </w:r>
    </w:p>
  </w:footnote>
  <w:footnote w:id="213">
    <w:p w14:paraId="1A66433D" w14:textId="07C32C02" w:rsidR="00A262A5" w:rsidRPr="005602A7"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4B043D" w:rsidRPr="005602A7">
        <w:rPr>
          <w:rFonts w:ascii="Garamond" w:hAnsi="Garamond"/>
          <w:smallCaps/>
        </w:rPr>
        <w:t>Hasar</w:t>
      </w:r>
      <w:proofErr w:type="spellEnd"/>
      <w:r w:rsidR="004B043D" w:rsidRPr="005602A7">
        <w:rPr>
          <w:rFonts w:ascii="Garamond" w:hAnsi="Garamond"/>
          <w:smallCaps/>
        </w:rPr>
        <w:t xml:space="preserve"> </w:t>
      </w:r>
      <w:r w:rsidR="004B043D" w:rsidRPr="005602A7">
        <w:rPr>
          <w:rFonts w:ascii="Garamond" w:hAnsi="Garamond" w:cs="Times New Roman"/>
          <w:i/>
          <w:iCs/>
          <w:lang w:val="en-US"/>
        </w:rPr>
        <w:t xml:space="preserve">supra </w:t>
      </w:r>
      <w:r w:rsidR="004B043D" w:rsidRPr="005602A7">
        <w:rPr>
          <w:rFonts w:ascii="Garamond" w:hAnsi="Garamond" w:cs="Times New Roman"/>
          <w:lang w:val="en-US"/>
        </w:rPr>
        <w:t>note 158 at</w:t>
      </w:r>
      <w:r w:rsidR="004B043D" w:rsidRPr="005602A7">
        <w:rPr>
          <w:rFonts w:ascii="Garamond" w:hAnsi="Garamond"/>
        </w:rPr>
        <w:t xml:space="preserve"> </w:t>
      </w:r>
      <w:r w:rsidRPr="005602A7">
        <w:rPr>
          <w:rFonts w:ascii="Garamond" w:hAnsi="Garamond"/>
        </w:rPr>
        <w:t xml:space="preserve">p. 46; </w:t>
      </w:r>
      <w:r w:rsidR="003612EE" w:rsidRPr="005602A7">
        <w:rPr>
          <w:rFonts w:ascii="Garamond" w:hAnsi="Garamond"/>
        </w:rPr>
        <w:t xml:space="preserve">Armed Activities Case </w:t>
      </w:r>
      <w:r w:rsidRPr="005602A7">
        <w:rPr>
          <w:rFonts w:ascii="Garamond" w:hAnsi="Garamond"/>
        </w:rPr>
        <w:t>paras 46-48.</w:t>
      </w:r>
    </w:p>
  </w:footnote>
  <w:footnote w:id="214">
    <w:p w14:paraId="77A20C65" w14:textId="77777777" w:rsidR="006A3353" w:rsidRPr="005602A7" w:rsidRDefault="006A3353"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Jeremy I. Levitt, </w:t>
      </w:r>
      <w:r w:rsidRPr="005602A7">
        <w:rPr>
          <w:rFonts w:ascii="Garamond" w:hAnsi="Garamond"/>
          <w:i/>
          <w:iCs/>
        </w:rPr>
        <w:t>Pro-democratic Intervention in Africa</w:t>
      </w:r>
      <w:r w:rsidRPr="005602A7">
        <w:rPr>
          <w:rFonts w:ascii="Garamond" w:hAnsi="Garamond"/>
        </w:rPr>
        <w:t>, 24 Wis. Int'l L.J. 785, 785-786 (2006).</w:t>
      </w:r>
    </w:p>
  </w:footnote>
  <w:footnote w:id="215">
    <w:p w14:paraId="1EC27D53" w14:textId="77777777" w:rsidR="006A3353" w:rsidRPr="005602A7" w:rsidRDefault="006A3353" w:rsidP="001340AF">
      <w:pPr>
        <w:pStyle w:val="FootnoteText"/>
        <w:jc w:val="both"/>
        <w:rPr>
          <w:rFonts w:ascii="Garamond" w:hAnsi="Garamond" w:cs="Times New Roman"/>
        </w:rPr>
      </w:pPr>
      <w:r w:rsidRPr="005602A7">
        <w:rPr>
          <w:rStyle w:val="FootnoteReference"/>
          <w:rFonts w:ascii="Garamond" w:hAnsi="Garamond" w:cs="Times New Roman"/>
        </w:rPr>
        <w:footnoteRef/>
      </w:r>
      <w:r w:rsidRPr="005602A7">
        <w:rPr>
          <w:rFonts w:ascii="Garamond" w:hAnsi="Garamond" w:cs="Times New Roman"/>
        </w:rPr>
        <w:t xml:space="preserve"> Agata </w:t>
      </w:r>
      <w:proofErr w:type="spellStart"/>
      <w:r w:rsidRPr="005602A7">
        <w:rPr>
          <w:rFonts w:ascii="Garamond" w:hAnsi="Garamond" w:cs="Times New Roman"/>
          <w:lang w:val="en-US"/>
        </w:rPr>
        <w:t>Kleczkowska</w:t>
      </w:r>
      <w:proofErr w:type="spellEnd"/>
      <w:r w:rsidRPr="005602A7">
        <w:rPr>
          <w:rFonts w:ascii="Garamond" w:hAnsi="Garamond" w:cs="Times New Roman"/>
          <w:lang w:val="en-US"/>
        </w:rPr>
        <w:t xml:space="preserve">, </w:t>
      </w:r>
      <w:r w:rsidRPr="005602A7">
        <w:rPr>
          <w:rFonts w:ascii="Garamond" w:hAnsi="Garamond" w:cs="Times New Roman"/>
          <w:i/>
          <w:iCs/>
          <w:lang w:val="en-US"/>
        </w:rPr>
        <w:t xml:space="preserve">The Meaning of Treaty </w:t>
      </w:r>
      <w:proofErr w:type="spellStart"/>
      <w:r w:rsidRPr="005602A7">
        <w:rPr>
          <w:rFonts w:ascii="Garamond" w:hAnsi="Garamond" w:cs="Times New Roman"/>
          <w:i/>
          <w:iCs/>
          <w:lang w:val="en-US"/>
        </w:rPr>
        <w:t>Authorisation</w:t>
      </w:r>
      <w:proofErr w:type="spellEnd"/>
      <w:r w:rsidRPr="005602A7">
        <w:rPr>
          <w:rFonts w:ascii="Garamond" w:hAnsi="Garamond" w:cs="Times New Roman"/>
          <w:i/>
          <w:iCs/>
          <w:lang w:val="en-US"/>
        </w:rPr>
        <w:t xml:space="preserve"> and Ad Hoc Consent for the Legality of Military Assistance on Request</w:t>
      </w:r>
      <w:r w:rsidRPr="005602A7">
        <w:rPr>
          <w:rFonts w:ascii="Garamond" w:hAnsi="Garamond" w:cs="Times New Roman"/>
          <w:lang w:val="en-US"/>
        </w:rPr>
        <w:t xml:space="preserve"> 7(2) </w:t>
      </w:r>
      <w:r w:rsidRPr="005602A7">
        <w:rPr>
          <w:rFonts w:ascii="Garamond" w:hAnsi="Garamond" w:cs="Times New Roman"/>
          <w:smallCaps/>
          <w:lang w:val="en-US"/>
        </w:rPr>
        <w:t>Journal on the Use of Force and International Law,</w:t>
      </w:r>
      <w:r w:rsidRPr="005602A7">
        <w:rPr>
          <w:rFonts w:ascii="Garamond" w:hAnsi="Garamond" w:cs="Times New Roman"/>
          <w:i/>
          <w:iCs/>
          <w:lang w:val="en-US"/>
        </w:rPr>
        <w:t xml:space="preserve"> </w:t>
      </w:r>
      <w:r w:rsidRPr="005602A7">
        <w:rPr>
          <w:rFonts w:ascii="Garamond" w:hAnsi="Garamond" w:cs="Times New Roman"/>
          <w:lang w:val="en-US"/>
        </w:rPr>
        <w:t>1, 3-4 (2020).</w:t>
      </w:r>
    </w:p>
  </w:footnote>
  <w:footnote w:id="216">
    <w:p w14:paraId="63B5701D" w14:textId="24E30193" w:rsidR="00D7325E" w:rsidRPr="005602A7" w:rsidRDefault="00D7325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11737E" w:rsidRPr="005602A7">
        <w:rPr>
          <w:rFonts w:ascii="Garamond" w:hAnsi="Garamond" w:cs="Times New Roman"/>
          <w:smallCaps/>
          <w:lang w:val="en-US"/>
        </w:rPr>
        <w:t>de Wet,</w:t>
      </w:r>
      <w:r w:rsidR="00F12B63" w:rsidRPr="005602A7">
        <w:rPr>
          <w:rFonts w:ascii="Garamond" w:hAnsi="Garamond" w:cs="Times New Roman"/>
          <w:smallCaps/>
          <w:lang w:val="en-US"/>
        </w:rPr>
        <w:t xml:space="preserve"> Military Assistance on Request and the Use of Force</w:t>
      </w:r>
      <w:r w:rsidR="0011737E" w:rsidRPr="005602A7">
        <w:rPr>
          <w:rFonts w:ascii="Garamond" w:hAnsi="Garamond" w:cs="Times New Roman"/>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w:t>
      </w:r>
      <w:r w:rsidRPr="005602A7">
        <w:rPr>
          <w:rFonts w:ascii="Garamond" w:hAnsi="Garamond"/>
          <w:lang w:val="en-US"/>
        </w:rPr>
        <w:t xml:space="preserve">; Omar Hammady, </w:t>
      </w:r>
      <w:r w:rsidRPr="005602A7">
        <w:rPr>
          <w:rFonts w:ascii="Garamond" w:hAnsi="Garamond"/>
          <w:i/>
          <w:iCs/>
          <w:lang w:val="en-US"/>
        </w:rPr>
        <w:t xml:space="preserve">Assessing the Legality of ECOWAS Planned Military Intervention in Niger, </w:t>
      </w:r>
      <w:r w:rsidRPr="005602A7">
        <w:rPr>
          <w:rFonts w:ascii="Garamond" w:hAnsi="Garamond"/>
          <w:smallCaps/>
          <w:lang w:val="en-US"/>
        </w:rPr>
        <w:t xml:space="preserve">EJIL: </w:t>
      </w:r>
      <w:proofErr w:type="gramStart"/>
      <w:r w:rsidRPr="005602A7">
        <w:rPr>
          <w:rFonts w:ascii="Garamond" w:hAnsi="Garamond"/>
          <w:smallCaps/>
          <w:lang w:val="en-US"/>
        </w:rPr>
        <w:t>Talk!,</w:t>
      </w:r>
      <w:proofErr w:type="gramEnd"/>
      <w:r w:rsidRPr="005602A7">
        <w:rPr>
          <w:rFonts w:ascii="Garamond" w:hAnsi="Garamond"/>
          <w:lang w:val="en-US"/>
        </w:rPr>
        <w:t xml:space="preserve"> 6 September 2023) https://www.ejiltalk.org/assessing-the-legality-of-ecowas-planned-military-intervention-in-niger/.</w:t>
      </w:r>
    </w:p>
  </w:footnote>
  <w:footnote w:id="217">
    <w:p w14:paraId="429AEE83" w14:textId="398BE4DE" w:rsidR="00D7325E" w:rsidRPr="005602A7" w:rsidRDefault="00D7325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00481686" w:rsidRPr="005602A7">
        <w:rPr>
          <w:rFonts w:ascii="Garamond" w:hAnsi="Garamond" w:cs="Times New Roman"/>
          <w:lang w:val="en-US"/>
        </w:rPr>
        <w:t xml:space="preserve">10th Commission, </w:t>
      </w:r>
      <w:proofErr w:type="spellStart"/>
      <w:r w:rsidR="00481686" w:rsidRPr="005602A7">
        <w:rPr>
          <w:rFonts w:ascii="Garamond" w:hAnsi="Garamond" w:cs="Times New Roman"/>
          <w:lang w:val="en-US"/>
        </w:rPr>
        <w:t>Institut</w:t>
      </w:r>
      <w:proofErr w:type="spellEnd"/>
      <w:r w:rsidR="00481686" w:rsidRPr="005602A7">
        <w:rPr>
          <w:rFonts w:ascii="Garamond" w:hAnsi="Garamond" w:cs="Times New Roman"/>
          <w:lang w:val="en-US"/>
        </w:rPr>
        <w:t xml:space="preserve"> de Droit International, </w:t>
      </w:r>
      <w:r w:rsidR="00481686" w:rsidRPr="005602A7">
        <w:rPr>
          <w:rFonts w:ascii="Garamond" w:hAnsi="Garamond" w:cs="Times New Roman"/>
          <w:i/>
          <w:iCs/>
          <w:lang w:val="en-US"/>
        </w:rPr>
        <w:t xml:space="preserve">supra </w:t>
      </w:r>
      <w:r w:rsidR="00481686" w:rsidRPr="005602A7">
        <w:rPr>
          <w:rFonts w:ascii="Garamond" w:hAnsi="Garamond" w:cs="Times New Roman"/>
          <w:lang w:val="en-US"/>
        </w:rPr>
        <w:t>note 7 at</w:t>
      </w:r>
      <w:r w:rsidRPr="005602A7">
        <w:rPr>
          <w:rFonts w:ascii="Garamond" w:hAnsi="Garamond" w:cs="Times New Roman"/>
          <w:lang w:val="en-US"/>
        </w:rPr>
        <w:t xml:space="preserve"> </w:t>
      </w:r>
      <w:r w:rsidRPr="005602A7">
        <w:rPr>
          <w:rFonts w:ascii="Garamond" w:hAnsi="Garamond"/>
          <w:lang w:val="en-US"/>
        </w:rPr>
        <w:t>392-393.</w:t>
      </w:r>
    </w:p>
  </w:footnote>
  <w:footnote w:id="218">
    <w:p w14:paraId="4CBCF998" w14:textId="0CEE74DC" w:rsidR="00D7325E" w:rsidRPr="005602A7" w:rsidRDefault="00D7325E"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Hammady, </w:t>
      </w:r>
      <w:r w:rsidR="00F12B63" w:rsidRPr="005602A7">
        <w:rPr>
          <w:rFonts w:ascii="Garamond" w:hAnsi="Garamond"/>
          <w:i/>
          <w:iCs/>
          <w:lang w:val="en-US"/>
        </w:rPr>
        <w:t xml:space="preserve">Assessing the Legality of ECOWAS Planned Military Intervention in Niger, </w:t>
      </w:r>
      <w:r w:rsidR="004B043D" w:rsidRPr="005602A7">
        <w:rPr>
          <w:rFonts w:ascii="Garamond" w:hAnsi="Garamond"/>
          <w:i/>
          <w:iCs/>
          <w:lang w:val="en-US"/>
        </w:rPr>
        <w:t xml:space="preserve">supra </w:t>
      </w:r>
      <w:r w:rsidR="004B043D" w:rsidRPr="005602A7">
        <w:rPr>
          <w:rFonts w:ascii="Garamond" w:hAnsi="Garamond"/>
          <w:lang w:val="en-US"/>
        </w:rPr>
        <w:t xml:space="preserve">note 215. </w:t>
      </w:r>
    </w:p>
  </w:footnote>
  <w:footnote w:id="219">
    <w:p w14:paraId="08C02C8A" w14:textId="70C4A655" w:rsidR="00D7325E" w:rsidRPr="005602A7" w:rsidRDefault="00D7325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11737E" w:rsidRPr="005602A7">
        <w:rPr>
          <w:rFonts w:ascii="Garamond" w:hAnsi="Garamond" w:cs="Times New Roman"/>
          <w:smallCaps/>
          <w:lang w:val="en-US"/>
        </w:rPr>
        <w:t>de Wet,</w:t>
      </w:r>
      <w:r w:rsidR="00F12B63" w:rsidRPr="005602A7">
        <w:rPr>
          <w:rFonts w:ascii="Garamond" w:hAnsi="Garamond" w:cs="Times New Roman"/>
          <w:smallCaps/>
          <w:lang w:val="en-US"/>
        </w:rPr>
        <w:t xml:space="preserve"> Military Assistance on Request and the Use of Force</w:t>
      </w:r>
      <w:r w:rsidR="0011737E" w:rsidRPr="005602A7">
        <w:rPr>
          <w:rFonts w:ascii="Garamond" w:hAnsi="Garamond" w:cs="Times New Roman"/>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w:t>
      </w:r>
      <w:r w:rsidRPr="005602A7">
        <w:rPr>
          <w:rFonts w:ascii="Garamond" w:hAnsi="Garamond"/>
        </w:rPr>
        <w:t>.</w:t>
      </w:r>
    </w:p>
  </w:footnote>
  <w:footnote w:id="220">
    <w:p w14:paraId="4F796853" w14:textId="5A89A1D0" w:rsidR="00D7325E" w:rsidRPr="005602A7" w:rsidRDefault="00D7325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Pr="005602A7">
        <w:rPr>
          <w:rFonts w:ascii="Garamond" w:hAnsi="Garamond" w:cs="Times New Roman"/>
          <w:lang w:val="en-US"/>
        </w:rPr>
        <w:t>Wippman</w:t>
      </w:r>
      <w:proofErr w:type="spellEnd"/>
      <w:r w:rsidRPr="005602A7">
        <w:rPr>
          <w:rFonts w:ascii="Garamond" w:hAnsi="Garamond" w:cs="Times New Roman"/>
          <w:lang w:val="en-US"/>
        </w:rPr>
        <w:t xml:space="preserve">, </w:t>
      </w:r>
      <w:r w:rsidR="0011737E" w:rsidRPr="005602A7">
        <w:rPr>
          <w:rFonts w:ascii="Garamond" w:hAnsi="Garamond" w:cs="Times New Roman"/>
          <w:i/>
          <w:iCs/>
          <w:lang w:val="en-US"/>
        </w:rPr>
        <w:t xml:space="preserve">supra </w:t>
      </w:r>
      <w:r w:rsidR="0011737E" w:rsidRPr="005602A7">
        <w:rPr>
          <w:rFonts w:ascii="Garamond" w:hAnsi="Garamond" w:cs="Times New Roman"/>
          <w:lang w:val="en-US"/>
        </w:rPr>
        <w:t xml:space="preserve">note 7, at </w:t>
      </w:r>
      <w:r w:rsidRPr="005602A7">
        <w:rPr>
          <w:rFonts w:ascii="Garamond" w:hAnsi="Garamond" w:cs="Times New Roman"/>
        </w:rPr>
        <w:t>615</w:t>
      </w:r>
      <w:r w:rsidR="00BF7257" w:rsidRPr="005602A7">
        <w:rPr>
          <w:rFonts w:ascii="Garamond" w:hAnsi="Garamond" w:cs="Times New Roman"/>
        </w:rPr>
        <w:t>-617</w:t>
      </w:r>
      <w:r w:rsidRPr="005602A7">
        <w:rPr>
          <w:rFonts w:ascii="Garamond" w:hAnsi="Garamond"/>
        </w:rPr>
        <w:t xml:space="preserve">; </w:t>
      </w:r>
      <w:r w:rsidRPr="005602A7">
        <w:rPr>
          <w:rFonts w:ascii="Garamond" w:hAnsi="Garamond" w:cs="Times New Roman"/>
        </w:rPr>
        <w:t xml:space="preserve">Svenja </w:t>
      </w:r>
      <w:r w:rsidRPr="005602A7">
        <w:rPr>
          <w:rFonts w:ascii="Garamond" w:hAnsi="Garamond" w:cs="Times New Roman"/>
          <w:lang w:val="en-US"/>
        </w:rPr>
        <w:t xml:space="preserve">Raube, </w:t>
      </w:r>
      <w:r w:rsidRPr="005602A7">
        <w:rPr>
          <w:rFonts w:ascii="Garamond" w:hAnsi="Garamond" w:cs="Times New Roman"/>
          <w:i/>
          <w:iCs/>
          <w:lang w:val="en-US"/>
        </w:rPr>
        <w:t xml:space="preserve">An International Law Assessment of ECOWAS’ Threat to Use Force in Niger, </w:t>
      </w:r>
      <w:r w:rsidRPr="005602A7">
        <w:rPr>
          <w:rFonts w:ascii="Garamond" w:hAnsi="Garamond" w:cs="Times New Roman"/>
          <w:smallCaps/>
          <w:lang w:val="en-US"/>
        </w:rPr>
        <w:t>Just Security,</w:t>
      </w:r>
      <w:r w:rsidRPr="005602A7">
        <w:rPr>
          <w:rFonts w:ascii="Garamond" w:hAnsi="Garamond" w:cs="Times New Roman"/>
          <w:lang w:val="en-US"/>
        </w:rPr>
        <w:t xml:space="preserve"> (Aug. 16, 2023) https://www.justsecurity.org/87659/an-international-law-assessment-of-ecowas-threat-to-use-force-in-niger/</w:t>
      </w:r>
      <w:r w:rsidRPr="005602A7">
        <w:rPr>
          <w:rFonts w:ascii="Garamond" w:hAnsi="Garamond" w:cs="Times New Roman"/>
        </w:rPr>
        <w:t>.</w:t>
      </w:r>
    </w:p>
  </w:footnote>
  <w:footnote w:id="221">
    <w:p w14:paraId="7FA408D9" w14:textId="292C668D" w:rsidR="00D7325E" w:rsidRPr="005602A7" w:rsidRDefault="00D7325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91207B" w:rsidRPr="005602A7">
        <w:rPr>
          <w:rFonts w:ascii="Garamond" w:hAnsi="Garamond" w:cs="Times New Roman"/>
          <w:lang w:val="en-US"/>
        </w:rPr>
        <w:t xml:space="preserve">Visser, </w:t>
      </w:r>
      <w:r w:rsidR="0091207B" w:rsidRPr="005602A7">
        <w:rPr>
          <w:rFonts w:ascii="Garamond" w:hAnsi="Garamond" w:cs="Times New Roman"/>
          <w:i/>
          <w:iCs/>
          <w:lang w:val="en-US"/>
        </w:rPr>
        <w:t xml:space="preserve">May the Force Be </w:t>
      </w:r>
      <w:proofErr w:type="gramStart"/>
      <w:r w:rsidR="0091207B" w:rsidRPr="005602A7">
        <w:rPr>
          <w:rFonts w:ascii="Garamond" w:hAnsi="Garamond" w:cs="Times New Roman"/>
          <w:i/>
          <w:iCs/>
          <w:lang w:val="en-US"/>
        </w:rPr>
        <w:t>With</w:t>
      </w:r>
      <w:proofErr w:type="gramEnd"/>
      <w:r w:rsidR="0091207B" w:rsidRPr="005602A7">
        <w:rPr>
          <w:rFonts w:ascii="Garamond" w:hAnsi="Garamond" w:cs="Times New Roman"/>
          <w:i/>
          <w:iCs/>
          <w:lang w:val="en-US"/>
        </w:rPr>
        <w:t xml:space="preserve"> You, </w:t>
      </w:r>
      <w:r w:rsidR="0011737E" w:rsidRPr="005602A7">
        <w:rPr>
          <w:rFonts w:ascii="Garamond" w:hAnsi="Garamond" w:cs="Times New Roman"/>
          <w:i/>
          <w:iCs/>
          <w:lang w:val="en-US"/>
        </w:rPr>
        <w:t xml:space="preserve">supra </w:t>
      </w:r>
      <w:r w:rsidR="0011737E" w:rsidRPr="005602A7">
        <w:rPr>
          <w:rFonts w:ascii="Garamond" w:hAnsi="Garamond" w:cs="Times New Roman"/>
          <w:lang w:val="en-US"/>
        </w:rPr>
        <w:t xml:space="preserve">note 1, at </w:t>
      </w:r>
      <w:r w:rsidRPr="005602A7">
        <w:rPr>
          <w:rFonts w:ascii="Garamond" w:hAnsi="Garamond"/>
        </w:rPr>
        <w:t xml:space="preserve">30. </w:t>
      </w:r>
    </w:p>
  </w:footnote>
  <w:footnote w:id="222">
    <w:p w14:paraId="52F45EB9" w14:textId="5739251B" w:rsidR="00D7325E" w:rsidRPr="005602A7" w:rsidRDefault="00D7325E"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cs="Times New Roman"/>
          <w:lang w:val="en-US"/>
        </w:rPr>
        <w:t>Raube,</w:t>
      </w:r>
      <w:r w:rsidR="00F12B63" w:rsidRPr="005602A7">
        <w:rPr>
          <w:rFonts w:ascii="Garamond" w:hAnsi="Garamond" w:cs="Times New Roman"/>
          <w:lang w:val="en-US"/>
        </w:rPr>
        <w:t xml:space="preserve"> </w:t>
      </w:r>
      <w:r w:rsidR="00F12B63" w:rsidRPr="005602A7">
        <w:rPr>
          <w:rFonts w:ascii="Garamond" w:hAnsi="Garamond" w:cs="Times New Roman"/>
          <w:i/>
          <w:iCs/>
          <w:lang w:val="en-US"/>
        </w:rPr>
        <w:t>An International Law Assessment of ECOWAS’ Threat to Use Force in Niger</w:t>
      </w:r>
      <w:r w:rsidRPr="005602A7">
        <w:rPr>
          <w:rFonts w:ascii="Garamond" w:hAnsi="Garamond" w:cs="Times New Roman"/>
          <w:lang w:val="en-US"/>
        </w:rPr>
        <w:t xml:space="preserve"> </w:t>
      </w:r>
      <w:r w:rsidR="004B043D" w:rsidRPr="005602A7">
        <w:rPr>
          <w:rFonts w:ascii="Garamond" w:hAnsi="Garamond" w:cs="Times New Roman"/>
          <w:i/>
          <w:iCs/>
          <w:lang w:val="en-US"/>
        </w:rPr>
        <w:t xml:space="preserve">supra </w:t>
      </w:r>
      <w:r w:rsidR="004B043D" w:rsidRPr="005602A7">
        <w:rPr>
          <w:rFonts w:ascii="Garamond" w:hAnsi="Garamond" w:cs="Times New Roman"/>
          <w:lang w:val="en-US"/>
        </w:rPr>
        <w:t xml:space="preserve">note 219. </w:t>
      </w:r>
      <w:r w:rsidRPr="005602A7">
        <w:rPr>
          <w:rFonts w:ascii="Garamond" w:hAnsi="Garamond" w:cs="Times New Roman"/>
          <w:lang w:val="en-US"/>
        </w:rPr>
        <w:t xml:space="preserve"> </w:t>
      </w:r>
    </w:p>
  </w:footnote>
  <w:footnote w:id="223">
    <w:p w14:paraId="2D1729BD" w14:textId="0083BFC6" w:rsidR="0072544A" w:rsidRPr="005602A7" w:rsidRDefault="0072544A"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Buchanan</w:t>
      </w:r>
      <w:r w:rsidR="00015179" w:rsidRPr="005602A7">
        <w:rPr>
          <w:rFonts w:ascii="Garamond" w:hAnsi="Garamond"/>
          <w:lang w:val="en-US"/>
        </w:rPr>
        <w:t xml:space="preserve">, </w:t>
      </w:r>
      <w:r w:rsidR="0067431C" w:rsidRPr="005602A7">
        <w:rPr>
          <w:rFonts w:ascii="Garamond" w:hAnsi="Garamond"/>
          <w:i/>
          <w:iCs/>
        </w:rPr>
        <w:t>Theories of Secession</w:t>
      </w:r>
      <w:r w:rsidR="0067431C" w:rsidRPr="005602A7">
        <w:rPr>
          <w:rFonts w:ascii="Garamond" w:hAnsi="Garamond"/>
          <w:lang w:val="en-US"/>
        </w:rPr>
        <w:t xml:space="preserve">, </w:t>
      </w:r>
      <w:r w:rsidR="00015179" w:rsidRPr="005602A7">
        <w:rPr>
          <w:rFonts w:ascii="Garamond" w:hAnsi="Garamond"/>
          <w:i/>
          <w:iCs/>
          <w:lang w:val="en-US"/>
        </w:rPr>
        <w:t>supra</w:t>
      </w:r>
      <w:r w:rsidR="00015179" w:rsidRPr="005602A7">
        <w:rPr>
          <w:rFonts w:ascii="Garamond" w:hAnsi="Garamond"/>
          <w:lang w:val="en-US"/>
        </w:rPr>
        <w:t xml:space="preserve"> note 117 at</w:t>
      </w:r>
      <w:r w:rsidRPr="005602A7">
        <w:rPr>
          <w:rFonts w:ascii="Garamond" w:hAnsi="Garamond"/>
          <w:lang w:val="en-US"/>
        </w:rPr>
        <w:t xml:space="preserve"> 44</w:t>
      </w:r>
      <w:r w:rsidR="00015179" w:rsidRPr="005602A7">
        <w:rPr>
          <w:rFonts w:ascii="Garamond" w:hAnsi="Garamond"/>
          <w:lang w:val="en-US"/>
        </w:rPr>
        <w:t>.</w:t>
      </w:r>
      <w:r w:rsidRPr="005602A7">
        <w:rPr>
          <w:rFonts w:ascii="Garamond" w:hAnsi="Garamond"/>
          <w:lang w:val="en-US"/>
        </w:rPr>
        <w:t xml:space="preserve"> </w:t>
      </w:r>
    </w:p>
  </w:footnote>
  <w:footnote w:id="224">
    <w:p w14:paraId="0DB0691E" w14:textId="403FB50A" w:rsidR="00C92C94" w:rsidRPr="005602A7" w:rsidRDefault="00C92C9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Pr="005602A7">
        <w:rPr>
          <w:rFonts w:ascii="Garamond" w:hAnsi="Garamond" w:cs="Times New Roman"/>
          <w:lang w:val="en-US"/>
        </w:rPr>
        <w:t>Kleczkowska</w:t>
      </w:r>
      <w:proofErr w:type="spellEnd"/>
      <w:r w:rsidRPr="005602A7">
        <w:rPr>
          <w:rFonts w:ascii="Garamond" w:hAnsi="Garamond" w:cs="Times New Roman"/>
          <w:lang w:val="en-US"/>
        </w:rPr>
        <w:t xml:space="preserve">, </w:t>
      </w:r>
      <w:r w:rsidR="00F12B63" w:rsidRPr="005602A7">
        <w:rPr>
          <w:rFonts w:ascii="Garamond" w:hAnsi="Garamond" w:cs="Times New Roman"/>
          <w:i/>
          <w:iCs/>
          <w:lang w:val="en-US"/>
        </w:rPr>
        <w:t xml:space="preserve">The Meaning of Treaty </w:t>
      </w:r>
      <w:proofErr w:type="spellStart"/>
      <w:r w:rsidR="00F12B63" w:rsidRPr="005602A7">
        <w:rPr>
          <w:rFonts w:ascii="Garamond" w:hAnsi="Garamond" w:cs="Times New Roman"/>
          <w:i/>
          <w:iCs/>
          <w:lang w:val="en-US"/>
        </w:rPr>
        <w:t>Authorisation</w:t>
      </w:r>
      <w:proofErr w:type="spellEnd"/>
      <w:r w:rsidR="00F12B63" w:rsidRPr="005602A7">
        <w:rPr>
          <w:rFonts w:ascii="Garamond" w:hAnsi="Garamond" w:cs="Times New Roman"/>
          <w:i/>
          <w:iCs/>
          <w:lang w:val="en-US"/>
        </w:rPr>
        <w:t xml:space="preserve"> and Ad Hoc Consent, </w:t>
      </w:r>
      <w:r w:rsidR="00492BC1" w:rsidRPr="005602A7">
        <w:rPr>
          <w:rFonts w:ascii="Garamond" w:hAnsi="Garamond" w:cs="Times New Roman"/>
          <w:i/>
          <w:iCs/>
          <w:lang w:val="en-US"/>
        </w:rPr>
        <w:t xml:space="preserve">supra </w:t>
      </w:r>
      <w:r w:rsidR="00492BC1" w:rsidRPr="005602A7">
        <w:rPr>
          <w:rFonts w:ascii="Garamond" w:hAnsi="Garamond" w:cs="Times New Roman"/>
          <w:lang w:val="en-US"/>
        </w:rPr>
        <w:t xml:space="preserve">note 214 at </w:t>
      </w:r>
      <w:r w:rsidRPr="005602A7">
        <w:rPr>
          <w:rFonts w:ascii="Garamond" w:hAnsi="Garamond" w:cs="Times New Roman"/>
          <w:lang w:val="en-US"/>
        </w:rPr>
        <w:t>3-4</w:t>
      </w:r>
      <w:r w:rsidR="00492BC1" w:rsidRPr="005602A7">
        <w:rPr>
          <w:rFonts w:ascii="Garamond" w:hAnsi="Garamond" w:cs="Times New Roman"/>
          <w:lang w:val="en-US"/>
        </w:rPr>
        <w:t xml:space="preserve">. </w:t>
      </w:r>
    </w:p>
  </w:footnote>
  <w:footnote w:id="225">
    <w:p w14:paraId="43BD57C0" w14:textId="551EDC66" w:rsidR="00C92C94" w:rsidRPr="005602A7" w:rsidRDefault="00C92C94" w:rsidP="001340AF">
      <w:pPr>
        <w:pStyle w:val="FootnoteText"/>
        <w:jc w:val="both"/>
        <w:rPr>
          <w:rFonts w:ascii="Garamond" w:hAnsi="Garamond" w:cs="Times New Roman"/>
        </w:rPr>
      </w:pPr>
      <w:r w:rsidRPr="005602A7">
        <w:rPr>
          <w:rStyle w:val="FootnoteReference"/>
          <w:rFonts w:ascii="Garamond" w:hAnsi="Garamond" w:cs="Times New Roman"/>
        </w:rPr>
        <w:footnoteRef/>
      </w:r>
      <w:r w:rsidRPr="005602A7">
        <w:rPr>
          <w:rFonts w:ascii="Garamond" w:hAnsi="Garamond" w:cs="Times New Roman"/>
        </w:rPr>
        <w:t xml:space="preserve"> </w:t>
      </w:r>
      <w:r w:rsidR="0011737E" w:rsidRPr="005602A7">
        <w:rPr>
          <w:rFonts w:ascii="Garamond" w:hAnsi="Garamond" w:cs="Times New Roman"/>
          <w:smallCaps/>
          <w:lang w:val="en-US"/>
        </w:rPr>
        <w:t>de Wet,</w:t>
      </w:r>
      <w:r w:rsidR="0011737E" w:rsidRPr="005602A7">
        <w:rPr>
          <w:rFonts w:ascii="Garamond" w:hAnsi="Garamond" w:cs="Times New Roman"/>
          <w:lang w:val="en-US"/>
        </w:rPr>
        <w:t xml:space="preserve"> </w:t>
      </w:r>
      <w:r w:rsidR="00F12B63" w:rsidRPr="005602A7">
        <w:rPr>
          <w:rFonts w:ascii="Garamond" w:hAnsi="Garamond" w:cs="Times New Roman"/>
          <w:smallCaps/>
          <w:lang w:val="en-US"/>
        </w:rPr>
        <w:t>Military Assistance on Request and the Use of Force</w:t>
      </w:r>
      <w:r w:rsidR="00F12B63" w:rsidRPr="005602A7">
        <w:rPr>
          <w:rFonts w:ascii="Garamond" w:hAnsi="Garamond" w:cs="Times New Roman"/>
          <w:i/>
          <w:iCs/>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 </w:t>
      </w:r>
      <w:r w:rsidRPr="005602A7">
        <w:rPr>
          <w:rFonts w:ascii="Garamond" w:hAnsi="Garamond" w:cs="Times New Roman"/>
          <w:lang w:val="en-US"/>
        </w:rPr>
        <w:t xml:space="preserve">at Chapter 5; David </w:t>
      </w:r>
      <w:proofErr w:type="spellStart"/>
      <w:r w:rsidRPr="005602A7">
        <w:rPr>
          <w:rFonts w:ascii="Garamond" w:hAnsi="Garamond" w:cs="Times New Roman"/>
          <w:lang w:val="en-US"/>
        </w:rPr>
        <w:t>Wippman</w:t>
      </w:r>
      <w:proofErr w:type="spellEnd"/>
      <w:r w:rsidRPr="005602A7">
        <w:rPr>
          <w:rFonts w:ascii="Garamond" w:hAnsi="Garamond" w:cs="Times New Roman"/>
          <w:lang w:val="en-US"/>
        </w:rPr>
        <w:t xml:space="preserve">, </w:t>
      </w:r>
      <w:r w:rsidRPr="005602A7">
        <w:rPr>
          <w:rFonts w:ascii="Garamond" w:hAnsi="Garamond" w:cs="Times New Roman"/>
          <w:i/>
          <w:iCs/>
          <w:lang w:val="en-US"/>
        </w:rPr>
        <w:t>Pro-democratic Intervention in Africa</w:t>
      </w:r>
      <w:r w:rsidRPr="005602A7">
        <w:rPr>
          <w:rFonts w:ascii="Garamond" w:hAnsi="Garamond" w:cs="Times New Roman"/>
          <w:lang w:val="en-US"/>
        </w:rPr>
        <w:t xml:space="preserve">, </w:t>
      </w:r>
      <w:r w:rsidRPr="005602A7">
        <w:rPr>
          <w:rFonts w:ascii="Garamond" w:hAnsi="Garamond"/>
          <w:smallCaps/>
        </w:rPr>
        <w:t>Proceedings of the Annual Meeting (American Society of International Law</w:t>
      </w:r>
      <w:proofErr w:type="gramStart"/>
      <w:r w:rsidRPr="005602A7">
        <w:rPr>
          <w:rFonts w:ascii="Garamond" w:hAnsi="Garamond"/>
          <w:smallCaps/>
        </w:rPr>
        <w:t>) ,</w:t>
      </w:r>
      <w:proofErr w:type="gramEnd"/>
      <w:r w:rsidRPr="005602A7">
        <w:rPr>
          <w:rFonts w:ascii="Garamond" w:hAnsi="Garamond"/>
          <w:smallCaps/>
        </w:rPr>
        <w:t xml:space="preserve"> MARCH 13-16, 2002, Vol. 96 (MARCH 13-16, 2002),</w:t>
      </w:r>
      <w:r w:rsidRPr="005602A7">
        <w:rPr>
          <w:rFonts w:ascii="Garamond" w:hAnsi="Garamond"/>
        </w:rPr>
        <w:t xml:space="preserve"> pp. 143-145.</w:t>
      </w:r>
    </w:p>
  </w:footnote>
  <w:footnote w:id="226">
    <w:p w14:paraId="51DC2EE6" w14:textId="07FCCAFC" w:rsidR="00C92C94" w:rsidRPr="005602A7" w:rsidRDefault="00C92C94"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proofErr w:type="spellStart"/>
      <w:r w:rsidR="0011737E" w:rsidRPr="005602A7">
        <w:rPr>
          <w:rFonts w:ascii="Garamond" w:hAnsi="Garamond" w:cs="Times New Roman"/>
          <w:lang w:val="en-US"/>
        </w:rPr>
        <w:t>Wippman</w:t>
      </w:r>
      <w:proofErr w:type="spellEnd"/>
      <w:r w:rsidR="0011737E" w:rsidRPr="005602A7">
        <w:rPr>
          <w:rFonts w:ascii="Garamond" w:hAnsi="Garamond" w:cs="Times New Roman"/>
          <w:lang w:val="en-US"/>
        </w:rPr>
        <w:t xml:space="preserve">, </w:t>
      </w:r>
      <w:r w:rsidR="0011737E" w:rsidRPr="005602A7">
        <w:rPr>
          <w:rFonts w:ascii="Garamond" w:hAnsi="Garamond" w:cs="Times New Roman"/>
          <w:i/>
          <w:iCs/>
          <w:lang w:val="en-US"/>
        </w:rPr>
        <w:t xml:space="preserve">supra </w:t>
      </w:r>
      <w:r w:rsidR="0011737E" w:rsidRPr="005602A7">
        <w:rPr>
          <w:rFonts w:ascii="Garamond" w:hAnsi="Garamond" w:cs="Times New Roman"/>
          <w:lang w:val="en-US"/>
        </w:rPr>
        <w:t xml:space="preserve">note 7, at </w:t>
      </w:r>
      <w:r w:rsidRPr="005602A7">
        <w:rPr>
          <w:rFonts w:ascii="Garamond" w:hAnsi="Garamond" w:cs="Times New Roman"/>
          <w:lang w:val="en-US"/>
        </w:rPr>
        <w:t>630-631.</w:t>
      </w:r>
    </w:p>
  </w:footnote>
  <w:footnote w:id="227">
    <w:p w14:paraId="0FFB0734" w14:textId="77777777" w:rsidR="00C92C94" w:rsidRPr="005602A7" w:rsidRDefault="00C92C9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Monica Hakimi, </w:t>
      </w:r>
      <w:r w:rsidRPr="005602A7">
        <w:rPr>
          <w:rFonts w:ascii="Garamond" w:hAnsi="Garamond"/>
          <w:i/>
          <w:iCs/>
        </w:rPr>
        <w:t>To Condone or Condemn? Regional Enforcement Actions in the Absence of Security Council Authorization,</w:t>
      </w:r>
      <w:r w:rsidRPr="005602A7">
        <w:rPr>
          <w:rFonts w:ascii="Garamond" w:hAnsi="Garamond"/>
        </w:rPr>
        <w:t xml:space="preserve"> 40 </w:t>
      </w:r>
      <w:r w:rsidRPr="005602A7">
        <w:rPr>
          <w:rFonts w:ascii="Garamond" w:hAnsi="Garamond"/>
          <w:smallCaps/>
        </w:rPr>
        <w:t>Vanderbilt Law Review</w:t>
      </w:r>
      <w:r w:rsidRPr="005602A7">
        <w:rPr>
          <w:rFonts w:ascii="Garamond" w:hAnsi="Garamond"/>
        </w:rPr>
        <w:t xml:space="preserve"> 643 (2021). </w:t>
      </w:r>
    </w:p>
  </w:footnote>
  <w:footnote w:id="228">
    <w:p w14:paraId="2C50076B" w14:textId="0DA5139F" w:rsidR="00C92C94" w:rsidRPr="005602A7" w:rsidRDefault="00C92C9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Pr="005602A7">
        <w:rPr>
          <w:rFonts w:ascii="Garamond" w:hAnsi="Garamond"/>
        </w:rPr>
        <w:t>Tsagourias</w:t>
      </w:r>
      <w:proofErr w:type="spellEnd"/>
      <w:r w:rsidRPr="005602A7">
        <w:rPr>
          <w:rFonts w:ascii="Garamond" w:hAnsi="Garamond"/>
        </w:rPr>
        <w:t xml:space="preserve">, </w:t>
      </w:r>
      <w:r w:rsidR="005B1517" w:rsidRPr="005602A7">
        <w:rPr>
          <w:rFonts w:ascii="Garamond" w:hAnsi="Garamond"/>
          <w:i/>
          <w:iCs/>
        </w:rPr>
        <w:t>Security Council Legislation, Article 2(7) of the UN Charter and the Principle of Subsidiarity</w:t>
      </w:r>
      <w:r w:rsidR="005B1517" w:rsidRPr="005602A7">
        <w:rPr>
          <w:rFonts w:ascii="Garamond" w:hAnsi="Garamond"/>
        </w:rPr>
        <w:t xml:space="preserve">, </w:t>
      </w:r>
      <w:r w:rsidR="007B0360" w:rsidRPr="005602A7">
        <w:rPr>
          <w:rFonts w:ascii="Garamond" w:hAnsi="Garamond"/>
          <w:i/>
          <w:iCs/>
        </w:rPr>
        <w:t xml:space="preserve">supra </w:t>
      </w:r>
      <w:r w:rsidR="007B0360" w:rsidRPr="005602A7">
        <w:rPr>
          <w:rFonts w:ascii="Garamond" w:hAnsi="Garamond"/>
        </w:rPr>
        <w:t>note 152</w:t>
      </w:r>
      <w:r w:rsidRPr="005602A7">
        <w:rPr>
          <w:rFonts w:ascii="Garamond" w:hAnsi="Garamond"/>
        </w:rPr>
        <w:t xml:space="preserve"> at 551; art 24 , UN Charter. </w:t>
      </w:r>
    </w:p>
  </w:footnote>
  <w:footnote w:id="229">
    <w:p w14:paraId="15397030" w14:textId="77777777" w:rsidR="00C92C94" w:rsidRPr="005602A7" w:rsidRDefault="00C92C9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Bardo Fassbender, </w:t>
      </w:r>
      <w:r w:rsidRPr="005602A7">
        <w:rPr>
          <w:rFonts w:ascii="Garamond" w:hAnsi="Garamond"/>
          <w:i/>
          <w:iCs/>
          <w:lang w:val="en-US"/>
        </w:rPr>
        <w:t>The United Nations Charter as Constitution of the International Community,</w:t>
      </w:r>
      <w:r w:rsidRPr="005602A7">
        <w:rPr>
          <w:rFonts w:ascii="Garamond" w:hAnsi="Garamond"/>
          <w:lang w:val="en-US"/>
        </w:rPr>
        <w:t xml:space="preserve"> 36 </w:t>
      </w:r>
      <w:r w:rsidRPr="005602A7">
        <w:rPr>
          <w:rFonts w:ascii="Garamond" w:hAnsi="Garamond"/>
          <w:smallCaps/>
          <w:lang w:val="en-US"/>
        </w:rPr>
        <w:t>Columbia Journal of Transnational Law</w:t>
      </w:r>
      <w:r w:rsidRPr="005602A7">
        <w:rPr>
          <w:rFonts w:ascii="Garamond" w:hAnsi="Garamond"/>
          <w:lang w:val="en-US"/>
        </w:rPr>
        <w:t xml:space="preserve">, 529 </w:t>
      </w:r>
      <w:r w:rsidRPr="005602A7">
        <w:rPr>
          <w:rFonts w:ascii="Garamond" w:hAnsi="Garamond"/>
        </w:rPr>
        <w:t>(1998).</w:t>
      </w:r>
      <w:r w:rsidRPr="005602A7">
        <w:rPr>
          <w:rFonts w:ascii="Garamond" w:hAnsi="Garamond"/>
          <w:lang w:val="en-US"/>
        </w:rPr>
        <w:t xml:space="preserve"> </w:t>
      </w:r>
    </w:p>
  </w:footnote>
  <w:footnote w:id="230">
    <w:p w14:paraId="57918C85" w14:textId="77777777" w:rsidR="00C92C94" w:rsidRPr="005602A7" w:rsidRDefault="00C92C94"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cs="Times New Roman"/>
        </w:rPr>
        <w:t xml:space="preserve">Adil Ahmad Haque, </w:t>
      </w:r>
      <w:r w:rsidRPr="005602A7">
        <w:rPr>
          <w:rFonts w:ascii="Garamond" w:hAnsi="Garamond" w:cs="Times New Roman"/>
          <w:i/>
          <w:iCs/>
        </w:rPr>
        <w:t>The United Nations Charter at 75: Between Force and Self-</w:t>
      </w:r>
      <w:proofErr w:type="spellStart"/>
      <w:r w:rsidRPr="005602A7">
        <w:rPr>
          <w:rFonts w:ascii="Garamond" w:hAnsi="Garamond" w:cs="Times New Roman"/>
          <w:i/>
          <w:iCs/>
        </w:rPr>
        <w:t>Defense</w:t>
      </w:r>
      <w:proofErr w:type="spellEnd"/>
      <w:r w:rsidRPr="005602A7">
        <w:rPr>
          <w:rFonts w:ascii="Garamond" w:hAnsi="Garamond" w:cs="Times New Roman"/>
          <w:i/>
          <w:iCs/>
        </w:rPr>
        <w:t xml:space="preserve"> – Part Two,</w:t>
      </w:r>
      <w:r w:rsidRPr="005602A7">
        <w:rPr>
          <w:rFonts w:ascii="Garamond" w:hAnsi="Garamond" w:cs="Times New Roman"/>
        </w:rPr>
        <w:t xml:space="preserve"> </w:t>
      </w:r>
      <w:r w:rsidRPr="005602A7">
        <w:rPr>
          <w:rFonts w:ascii="Garamond" w:hAnsi="Garamond" w:cs="Times New Roman"/>
          <w:iCs/>
          <w:smallCaps/>
        </w:rPr>
        <w:t>Just Security</w:t>
      </w:r>
      <w:r w:rsidRPr="005602A7">
        <w:rPr>
          <w:rFonts w:ascii="Garamond" w:hAnsi="Garamond" w:cs="Times New Roman"/>
          <w:smallCaps/>
        </w:rPr>
        <w:t xml:space="preserve">, </w:t>
      </w:r>
      <w:r w:rsidRPr="005602A7">
        <w:rPr>
          <w:rFonts w:ascii="Garamond" w:hAnsi="Garamond" w:cs="Times New Roman"/>
        </w:rPr>
        <w:t xml:space="preserve">24 June 2020) &lt;https://www.justsecurity.org/70987/the-united-nations-charter-at-75-between-force-and-self-defense-part-two/&gt; accessed 19 January 2024. </w:t>
      </w:r>
    </w:p>
  </w:footnote>
  <w:footnote w:id="231">
    <w:p w14:paraId="05C8B52B" w14:textId="77777777" w:rsidR="00C92C94" w:rsidRPr="005602A7" w:rsidRDefault="00C92C94" w:rsidP="001340AF">
      <w:pPr>
        <w:pStyle w:val="FootnoteText"/>
        <w:jc w:val="both"/>
        <w:rPr>
          <w:rFonts w:ascii="Garamond" w:hAnsi="Garamond"/>
          <w:lang w:val="es-ES"/>
        </w:rPr>
      </w:pPr>
      <w:r w:rsidRPr="005602A7">
        <w:rPr>
          <w:rStyle w:val="FootnoteReference"/>
          <w:rFonts w:ascii="Garamond" w:hAnsi="Garamond"/>
        </w:rPr>
        <w:footnoteRef/>
      </w:r>
      <w:r w:rsidRPr="005602A7">
        <w:rPr>
          <w:rFonts w:ascii="Garamond" w:hAnsi="Garamond"/>
          <w:lang w:val="es-ES"/>
        </w:rPr>
        <w:t xml:space="preserve"> </w:t>
      </w:r>
      <w:proofErr w:type="spellStart"/>
      <w:r w:rsidRPr="005602A7">
        <w:rPr>
          <w:rFonts w:ascii="Garamond" w:hAnsi="Garamond"/>
          <w:lang w:val="es-ES"/>
        </w:rPr>
        <w:t>Article</w:t>
      </w:r>
      <w:proofErr w:type="spellEnd"/>
      <w:r w:rsidRPr="005602A7">
        <w:rPr>
          <w:rFonts w:ascii="Garamond" w:hAnsi="Garamond"/>
          <w:lang w:val="es-ES"/>
        </w:rPr>
        <w:t xml:space="preserve"> 103, UN </w:t>
      </w:r>
      <w:proofErr w:type="spellStart"/>
      <w:r w:rsidRPr="005602A7">
        <w:rPr>
          <w:rFonts w:ascii="Garamond" w:hAnsi="Garamond"/>
          <w:lang w:val="es-ES"/>
        </w:rPr>
        <w:t>Charter</w:t>
      </w:r>
      <w:proofErr w:type="spellEnd"/>
      <w:r w:rsidRPr="005602A7">
        <w:rPr>
          <w:rFonts w:ascii="Garamond" w:hAnsi="Garamond"/>
          <w:lang w:val="es-ES"/>
        </w:rPr>
        <w:t>.</w:t>
      </w:r>
    </w:p>
  </w:footnote>
  <w:footnote w:id="232">
    <w:p w14:paraId="7FDAE6D8" w14:textId="77777777" w:rsidR="00C92C94" w:rsidRPr="005602A7" w:rsidRDefault="00C92C94" w:rsidP="001340AF">
      <w:pPr>
        <w:pStyle w:val="FootnoteText"/>
        <w:jc w:val="both"/>
        <w:rPr>
          <w:rFonts w:ascii="Garamond" w:hAnsi="Garamond"/>
          <w:lang w:val="es-ES"/>
        </w:rPr>
      </w:pPr>
      <w:r w:rsidRPr="005602A7">
        <w:rPr>
          <w:rStyle w:val="FootnoteReference"/>
          <w:rFonts w:ascii="Garamond" w:hAnsi="Garamond"/>
        </w:rPr>
        <w:footnoteRef/>
      </w:r>
      <w:r w:rsidRPr="005602A7">
        <w:rPr>
          <w:rFonts w:ascii="Garamond" w:hAnsi="Garamond"/>
          <w:lang w:val="es-ES"/>
        </w:rPr>
        <w:t xml:space="preserve"> 2(7), UN </w:t>
      </w:r>
      <w:proofErr w:type="spellStart"/>
      <w:r w:rsidRPr="005602A7">
        <w:rPr>
          <w:rFonts w:ascii="Garamond" w:hAnsi="Garamond"/>
          <w:lang w:val="es-ES"/>
        </w:rPr>
        <w:t>Charter</w:t>
      </w:r>
      <w:proofErr w:type="spellEnd"/>
      <w:r w:rsidRPr="005602A7">
        <w:rPr>
          <w:rFonts w:ascii="Garamond" w:hAnsi="Garamond"/>
          <w:lang w:val="es-ES"/>
        </w:rPr>
        <w:t>.</w:t>
      </w:r>
    </w:p>
  </w:footnote>
  <w:footnote w:id="233">
    <w:p w14:paraId="0BD6DD77" w14:textId="77777777" w:rsidR="00C92C94" w:rsidRPr="005602A7" w:rsidRDefault="00C92C9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Nationality Decrees Issued in Tunis and Morocco (French Zone) (Great Britain v France) Advisory Opinion, (1923) PCIJ Series B, No. 4, </w:t>
      </w:r>
      <w:r w:rsidRPr="005602A7">
        <w:rPr>
          <w:rFonts w:ascii="Garamond" w:hAnsi="Garamond"/>
          <w:lang w:val="en-US"/>
        </w:rPr>
        <w:t>at 24</w:t>
      </w:r>
      <w:r w:rsidRPr="005602A7">
        <w:rPr>
          <w:rFonts w:ascii="Garamond" w:hAnsi="Garamond"/>
        </w:rPr>
        <w:t>.</w:t>
      </w:r>
    </w:p>
  </w:footnote>
  <w:footnote w:id="234">
    <w:p w14:paraId="4CFACE69" w14:textId="781388F1" w:rsidR="00C92C94" w:rsidRPr="005602A7" w:rsidRDefault="00C92C9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4B043D" w:rsidRPr="005602A7">
        <w:rPr>
          <w:rFonts w:ascii="Garamond" w:hAnsi="Garamond"/>
          <w:lang w:val="en-US"/>
        </w:rPr>
        <w:t xml:space="preserve">Corten, </w:t>
      </w:r>
      <w:r w:rsidR="00D06361" w:rsidRPr="005602A7">
        <w:rPr>
          <w:rFonts w:ascii="Garamond" w:hAnsi="Garamond"/>
          <w:i/>
          <w:iCs/>
          <w:lang w:val="en-US"/>
        </w:rPr>
        <w:t xml:space="preserve">Intervention by Invitation, </w:t>
      </w:r>
      <w:r w:rsidR="004B043D" w:rsidRPr="005602A7">
        <w:rPr>
          <w:rFonts w:ascii="Garamond" w:hAnsi="Garamond"/>
          <w:i/>
          <w:iCs/>
          <w:lang w:val="en-US"/>
        </w:rPr>
        <w:t xml:space="preserve">supra </w:t>
      </w:r>
      <w:r w:rsidR="004B043D" w:rsidRPr="005602A7">
        <w:rPr>
          <w:rFonts w:ascii="Garamond" w:hAnsi="Garamond"/>
          <w:lang w:val="en-US"/>
        </w:rPr>
        <w:t>note 195</w:t>
      </w:r>
      <w:r w:rsidRPr="005602A7">
        <w:rPr>
          <w:rFonts w:ascii="Garamond" w:hAnsi="Garamond"/>
        </w:rPr>
        <w:t xml:space="preserve">. </w:t>
      </w:r>
    </w:p>
  </w:footnote>
  <w:footnote w:id="235">
    <w:p w14:paraId="4CCD641E" w14:textId="3A803100" w:rsidR="00C92C94" w:rsidRPr="005602A7" w:rsidRDefault="00C92C94"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r w:rsidR="00492BC1" w:rsidRPr="005602A7">
        <w:rPr>
          <w:rFonts w:ascii="Garamond" w:eastAsia="Times New Roman" w:hAnsi="Garamond" w:cs="Times New Roman"/>
          <w:kern w:val="0"/>
          <w:lang w:val="en-US"/>
          <w14:ligatures w14:val="none"/>
        </w:rPr>
        <w:t xml:space="preserve">Hathaway et al, </w:t>
      </w:r>
      <w:r w:rsidR="00F12B63" w:rsidRPr="005602A7">
        <w:rPr>
          <w:rFonts w:ascii="Garamond" w:eastAsia="Times New Roman" w:hAnsi="Garamond" w:cs="Times New Roman"/>
          <w:i/>
          <w:iCs/>
          <w:kern w:val="0"/>
          <w:lang w:val="en-US"/>
          <w14:ligatures w14:val="none"/>
        </w:rPr>
        <w:t xml:space="preserve">Consent-Based Humanitarian Intervention, </w:t>
      </w:r>
      <w:r w:rsidR="00492BC1" w:rsidRPr="005602A7">
        <w:rPr>
          <w:rFonts w:ascii="Garamond" w:eastAsia="Times New Roman" w:hAnsi="Garamond" w:cs="Times New Roman"/>
          <w:i/>
          <w:iCs/>
          <w:kern w:val="0"/>
          <w:lang w:val="en-US"/>
          <w14:ligatures w14:val="none"/>
        </w:rPr>
        <w:t xml:space="preserve">supra </w:t>
      </w:r>
      <w:r w:rsidR="00492BC1" w:rsidRPr="005602A7">
        <w:rPr>
          <w:rFonts w:ascii="Garamond" w:eastAsia="Times New Roman" w:hAnsi="Garamond" w:cs="Times New Roman"/>
          <w:kern w:val="0"/>
          <w:lang w:val="en-US"/>
          <w14:ligatures w14:val="none"/>
        </w:rPr>
        <w:t xml:space="preserve">note 154 at </w:t>
      </w:r>
      <w:r w:rsidRPr="005602A7">
        <w:rPr>
          <w:rFonts w:ascii="Garamond" w:hAnsi="Garamond" w:cs="Times New Roman"/>
          <w:lang w:val="en-US"/>
        </w:rPr>
        <w:t>556-557.</w:t>
      </w:r>
    </w:p>
  </w:footnote>
  <w:footnote w:id="236">
    <w:p w14:paraId="7E86A1CB" w14:textId="77777777" w:rsidR="00C92C94" w:rsidRPr="005602A7" w:rsidRDefault="00C92C94"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Stevie </w:t>
      </w:r>
      <w:r w:rsidRPr="005602A7">
        <w:rPr>
          <w:rFonts w:ascii="Garamond" w:hAnsi="Garamond" w:cs="Times New Roman"/>
          <w:lang w:val="en-US"/>
        </w:rPr>
        <w:t xml:space="preserve">Martin, </w:t>
      </w:r>
      <w:r w:rsidRPr="005602A7">
        <w:rPr>
          <w:rFonts w:ascii="Garamond" w:hAnsi="Garamond" w:cs="Times New Roman"/>
          <w:i/>
          <w:iCs/>
          <w:lang w:val="en-US"/>
        </w:rPr>
        <w:t>Sovereignty and the Responsibility to Protect: Mutually Exclusive or Codependent?</w:t>
      </w:r>
      <w:r w:rsidRPr="005602A7">
        <w:rPr>
          <w:rFonts w:ascii="Garamond" w:hAnsi="Garamond" w:cs="Times New Roman"/>
          <w:lang w:val="en-US"/>
        </w:rPr>
        <w:t xml:space="preserve"> 20(1) </w:t>
      </w:r>
      <w:r w:rsidRPr="005602A7">
        <w:rPr>
          <w:rFonts w:ascii="Garamond" w:hAnsi="Garamond" w:cs="Times New Roman"/>
          <w:smallCaps/>
          <w:lang w:val="en-US"/>
        </w:rPr>
        <w:t>Griffith Law Review</w:t>
      </w:r>
      <w:r w:rsidRPr="005602A7">
        <w:rPr>
          <w:rFonts w:ascii="Garamond" w:hAnsi="Garamond" w:cs="Times New Roman"/>
          <w:lang w:val="en-US"/>
        </w:rPr>
        <w:t xml:space="preserve"> 153-187 (2011) </w:t>
      </w:r>
    </w:p>
  </w:footnote>
  <w:footnote w:id="237">
    <w:p w14:paraId="0DF9F338" w14:textId="77777777" w:rsidR="00C92C94" w:rsidRPr="005602A7" w:rsidRDefault="00C92C9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Pr="005602A7">
        <w:rPr>
          <w:rFonts w:ascii="Garamond" w:hAnsi="Garamond"/>
          <w:lang w:val="en-US"/>
        </w:rPr>
        <w:t xml:space="preserve">Evan J Criddle, </w:t>
      </w:r>
      <w:r w:rsidRPr="005602A7">
        <w:rPr>
          <w:rFonts w:ascii="Garamond" w:hAnsi="Garamond"/>
          <w:i/>
          <w:iCs/>
          <w:lang w:val="en-US"/>
        </w:rPr>
        <w:t>Three Grotian Theories of Humanitarian Intervention,</w:t>
      </w:r>
      <w:r w:rsidRPr="005602A7">
        <w:rPr>
          <w:rFonts w:ascii="Garamond" w:hAnsi="Garamond"/>
          <w:lang w:val="en-US"/>
        </w:rPr>
        <w:t xml:space="preserve"> 16(2) </w:t>
      </w:r>
      <w:r w:rsidRPr="005602A7">
        <w:rPr>
          <w:rFonts w:ascii="Garamond" w:hAnsi="Garamond"/>
          <w:smallCaps/>
          <w:lang w:val="en-US"/>
        </w:rPr>
        <w:t>Theoretical Inquiries in Law</w:t>
      </w:r>
      <w:r w:rsidRPr="005602A7">
        <w:rPr>
          <w:rFonts w:ascii="Garamond" w:hAnsi="Garamond"/>
          <w:lang w:val="en-US"/>
        </w:rPr>
        <w:t xml:space="preserve"> 473, 489 (2015).</w:t>
      </w:r>
    </w:p>
  </w:footnote>
  <w:footnote w:id="238">
    <w:p w14:paraId="48F4523B" w14:textId="77777777" w:rsidR="00C92C94" w:rsidRPr="005602A7" w:rsidRDefault="00C92C94"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Joseph </w:t>
      </w:r>
      <w:r w:rsidRPr="005602A7">
        <w:rPr>
          <w:rFonts w:ascii="Garamond" w:hAnsi="Garamond"/>
          <w:lang w:val="en-US"/>
        </w:rPr>
        <w:t xml:space="preserve">Raz, </w:t>
      </w:r>
      <w:r w:rsidRPr="005602A7">
        <w:rPr>
          <w:rFonts w:ascii="Garamond" w:hAnsi="Garamond"/>
          <w:i/>
          <w:iCs/>
          <w:lang w:val="en-US"/>
        </w:rPr>
        <w:t xml:space="preserve">Human Rights without Foundations, </w:t>
      </w:r>
      <w:r w:rsidRPr="005602A7">
        <w:rPr>
          <w:rFonts w:ascii="Garamond" w:hAnsi="Garamond"/>
          <w:i/>
          <w:iCs/>
        </w:rPr>
        <w:t>in</w:t>
      </w:r>
      <w:r w:rsidRPr="005602A7">
        <w:rPr>
          <w:rFonts w:ascii="Garamond" w:hAnsi="Garamond"/>
        </w:rPr>
        <w:t xml:space="preserve"> </w:t>
      </w:r>
      <w:r w:rsidRPr="005602A7">
        <w:rPr>
          <w:rFonts w:ascii="Garamond" w:hAnsi="Garamond"/>
          <w:smallCaps/>
        </w:rPr>
        <w:t>The Philosophy of International Law</w:t>
      </w:r>
      <w:r w:rsidRPr="005602A7">
        <w:rPr>
          <w:rFonts w:ascii="Garamond" w:hAnsi="Garamond"/>
        </w:rPr>
        <w:t>, (Besson and Tasioulas, eds, OUP, (2010).</w:t>
      </w:r>
    </w:p>
  </w:footnote>
  <w:footnote w:id="239">
    <w:p w14:paraId="600385B0" w14:textId="50259BAE" w:rsidR="00C92C94" w:rsidRPr="005602A7" w:rsidRDefault="00C92C94"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proofErr w:type="spellStart"/>
      <w:r w:rsidR="0011737E" w:rsidRPr="005602A7">
        <w:rPr>
          <w:rFonts w:ascii="Garamond" w:hAnsi="Garamond"/>
        </w:rPr>
        <w:t>Ryngaert</w:t>
      </w:r>
      <w:proofErr w:type="spellEnd"/>
      <w:r w:rsidR="0011737E" w:rsidRPr="005602A7">
        <w:rPr>
          <w:rFonts w:ascii="Garamond" w:hAnsi="Garamond"/>
        </w:rPr>
        <w:t xml:space="preserve">, </w:t>
      </w:r>
      <w:r w:rsidR="0011737E" w:rsidRPr="005602A7">
        <w:rPr>
          <w:rFonts w:ascii="Garamond" w:hAnsi="Garamond"/>
          <w:i/>
          <w:iCs/>
        </w:rPr>
        <w:t xml:space="preserve">supra </w:t>
      </w:r>
      <w:r w:rsidR="0011737E" w:rsidRPr="005602A7">
        <w:rPr>
          <w:rFonts w:ascii="Garamond" w:hAnsi="Garamond"/>
        </w:rPr>
        <w:t>note 4.</w:t>
      </w:r>
    </w:p>
  </w:footnote>
  <w:footnote w:id="240">
    <w:p w14:paraId="022C8C21" w14:textId="73D6CFA3" w:rsidR="00C92C94" w:rsidRPr="005602A7" w:rsidRDefault="00C92C94"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proofErr w:type="spellStart"/>
      <w:r w:rsidR="007B0360" w:rsidRPr="005602A7">
        <w:rPr>
          <w:rFonts w:ascii="Garamond" w:hAnsi="Garamond"/>
        </w:rPr>
        <w:t>Tsagourias</w:t>
      </w:r>
      <w:proofErr w:type="spellEnd"/>
      <w:r w:rsidR="007B0360" w:rsidRPr="005602A7">
        <w:rPr>
          <w:rFonts w:ascii="Garamond" w:hAnsi="Garamond"/>
        </w:rPr>
        <w:t>,</w:t>
      </w:r>
      <w:r w:rsidR="005B1517" w:rsidRPr="005602A7">
        <w:rPr>
          <w:rFonts w:ascii="Garamond" w:hAnsi="Garamond"/>
        </w:rPr>
        <w:t xml:space="preserve"> </w:t>
      </w:r>
      <w:r w:rsidR="005B1517" w:rsidRPr="005602A7">
        <w:rPr>
          <w:rFonts w:ascii="Garamond" w:hAnsi="Garamond"/>
          <w:i/>
          <w:iCs/>
        </w:rPr>
        <w:t>Security Council Legislation, Article 2(7) of the UN Charter and the Principle of Subsidiarity</w:t>
      </w:r>
      <w:r w:rsidR="005B1517" w:rsidRPr="005602A7">
        <w:rPr>
          <w:rFonts w:ascii="Garamond" w:hAnsi="Garamond"/>
        </w:rPr>
        <w:t xml:space="preserve">, </w:t>
      </w:r>
      <w:r w:rsidR="007B0360" w:rsidRPr="005602A7">
        <w:rPr>
          <w:rFonts w:ascii="Garamond" w:hAnsi="Garamond"/>
        </w:rPr>
        <w:t xml:space="preserve"> </w:t>
      </w:r>
      <w:r w:rsidR="007B0360" w:rsidRPr="005602A7">
        <w:rPr>
          <w:rFonts w:ascii="Garamond" w:hAnsi="Garamond"/>
          <w:i/>
          <w:iCs/>
        </w:rPr>
        <w:t xml:space="preserve">supra </w:t>
      </w:r>
      <w:r w:rsidR="007B0360" w:rsidRPr="005602A7">
        <w:rPr>
          <w:rFonts w:ascii="Garamond" w:hAnsi="Garamond"/>
        </w:rPr>
        <w:t>note 152</w:t>
      </w:r>
      <w:r w:rsidRPr="005602A7">
        <w:rPr>
          <w:rFonts w:ascii="Garamond" w:hAnsi="Garamond"/>
        </w:rPr>
        <w:t xml:space="preserve">. </w:t>
      </w:r>
    </w:p>
  </w:footnote>
  <w:footnote w:id="241">
    <w:p w14:paraId="020883A4" w14:textId="304BAAC4" w:rsidR="00C92C94" w:rsidRPr="005602A7" w:rsidRDefault="00C92C94"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Richard W. </w:t>
      </w:r>
      <w:r w:rsidRPr="005602A7">
        <w:rPr>
          <w:rFonts w:ascii="Garamond" w:eastAsia="Times New Roman" w:hAnsi="Garamond" w:cs="Times New Roman"/>
          <w:kern w:val="0"/>
          <w:lang w:val="en-US"/>
          <w14:ligatures w14:val="none"/>
        </w:rPr>
        <w:t xml:space="preserve">Miller, </w:t>
      </w:r>
      <w:r w:rsidRPr="005602A7">
        <w:rPr>
          <w:rFonts w:ascii="Garamond" w:eastAsia="Times New Roman" w:hAnsi="Garamond" w:cs="Times New Roman"/>
          <w:i/>
          <w:iCs/>
          <w:kern w:val="0"/>
          <w:lang w:val="en-US"/>
          <w14:ligatures w14:val="none"/>
        </w:rPr>
        <w:t>Why Sovereignty Matters Despite Injustice: The Ethics of Intervention in</w:t>
      </w:r>
      <w:r w:rsidRPr="005602A7">
        <w:rPr>
          <w:rFonts w:ascii="Garamond" w:eastAsia="Times New Roman" w:hAnsi="Garamond" w:cs="Times New Roman"/>
          <w:kern w:val="0"/>
          <w:lang w:val="en-US"/>
          <w14:ligatures w14:val="none"/>
        </w:rPr>
        <w:t xml:space="preserve"> </w:t>
      </w:r>
      <w:r w:rsidRPr="005602A7">
        <w:rPr>
          <w:rFonts w:ascii="Garamond" w:eastAsia="Times New Roman" w:hAnsi="Garamond" w:cs="Times New Roman"/>
          <w:smallCaps/>
          <w:kern w:val="0"/>
          <w:lang w:val="en-US"/>
          <w14:ligatures w14:val="none"/>
        </w:rPr>
        <w:t>Challenges for Humanitarian Intervention</w:t>
      </w:r>
      <w:r w:rsidRPr="005602A7">
        <w:rPr>
          <w:rFonts w:ascii="Garamond" w:eastAsia="Times New Roman" w:hAnsi="Garamond" w:cs="Times New Roman"/>
          <w:kern w:val="0"/>
          <w:lang w:val="en-US"/>
          <w14:ligatures w14:val="none"/>
        </w:rPr>
        <w:t xml:space="preserve"> (C.A.J. Coady, Ned Dobos, and Sagar Sanyal eds., OUP 2018) 43-44.</w:t>
      </w:r>
    </w:p>
  </w:footnote>
  <w:footnote w:id="242">
    <w:p w14:paraId="1BAEE028" w14:textId="2C460048" w:rsidR="00C92C94" w:rsidRPr="005602A7" w:rsidRDefault="00C92C94" w:rsidP="001340AF">
      <w:pPr>
        <w:pStyle w:val="FootnoteText"/>
        <w:jc w:val="both"/>
        <w:rPr>
          <w:rFonts w:ascii="Garamond" w:hAnsi="Garamond" w:cs="Times New Roman"/>
          <w:lang w:val="en-US"/>
        </w:rPr>
      </w:pPr>
      <w:r w:rsidRPr="005602A7">
        <w:rPr>
          <w:rStyle w:val="FootnoteReference"/>
          <w:rFonts w:ascii="Garamond" w:hAnsi="Garamond" w:cs="Times New Roman"/>
        </w:rPr>
        <w:footnoteRef/>
      </w:r>
      <w:r w:rsidRPr="005602A7">
        <w:rPr>
          <w:rFonts w:ascii="Garamond" w:hAnsi="Garamond" w:cs="Times New Roman"/>
        </w:rPr>
        <w:t xml:space="preserve"> </w:t>
      </w:r>
      <w:r w:rsidRPr="005602A7">
        <w:rPr>
          <w:rFonts w:ascii="Garamond" w:hAnsi="Garamond"/>
        </w:rPr>
        <w:t>Roth</w:t>
      </w:r>
      <w:r w:rsidR="007B0360" w:rsidRPr="005602A7">
        <w:rPr>
          <w:rFonts w:ascii="Garamond" w:hAnsi="Garamond"/>
        </w:rPr>
        <w:t xml:space="preserve">, </w:t>
      </w:r>
      <w:r w:rsidR="0067431C" w:rsidRPr="005602A7">
        <w:rPr>
          <w:rFonts w:ascii="Garamond" w:hAnsi="Garamond" w:cs="Times New Roman"/>
          <w:i/>
          <w:iCs/>
          <w:lang w:val="en-US"/>
        </w:rPr>
        <w:t xml:space="preserve">Secessions, Coups and the International Rule of Law, </w:t>
      </w:r>
      <w:r w:rsidR="0067431C" w:rsidRPr="005602A7">
        <w:rPr>
          <w:rFonts w:ascii="Garamond" w:hAnsi="Garamond"/>
          <w:i/>
          <w:iCs/>
        </w:rPr>
        <w:t>supra</w:t>
      </w:r>
      <w:r w:rsidR="0067431C" w:rsidRPr="005602A7">
        <w:rPr>
          <w:rFonts w:ascii="Garamond" w:hAnsi="Garamond"/>
        </w:rPr>
        <w:t xml:space="preserve"> </w:t>
      </w:r>
      <w:r w:rsidR="007B0360" w:rsidRPr="005602A7">
        <w:rPr>
          <w:rFonts w:ascii="Garamond" w:hAnsi="Garamond"/>
        </w:rPr>
        <w:t xml:space="preserve">note 136 at </w:t>
      </w:r>
      <w:r w:rsidRPr="005602A7">
        <w:rPr>
          <w:rFonts w:ascii="Garamond" w:hAnsi="Garamond" w:cs="Times New Roman"/>
          <w:lang w:val="en-US"/>
        </w:rPr>
        <w:t xml:space="preserve">426; </w:t>
      </w:r>
    </w:p>
  </w:footnote>
  <w:footnote w:id="243">
    <w:p w14:paraId="355940C8" w14:textId="207F76BB" w:rsidR="00A262A5" w:rsidRPr="005602A7" w:rsidRDefault="00A262A5" w:rsidP="001340AF">
      <w:pPr>
        <w:pStyle w:val="FootnoteText"/>
        <w:jc w:val="both"/>
        <w:rPr>
          <w:rFonts w:ascii="Garamond" w:hAnsi="Garamond"/>
          <w:lang w:val="en-US"/>
        </w:rPr>
      </w:pPr>
      <w:r w:rsidRPr="005602A7">
        <w:rPr>
          <w:rStyle w:val="FootnoteReference"/>
          <w:rFonts w:ascii="Garamond" w:hAnsi="Garamond"/>
        </w:rPr>
        <w:footnoteRef/>
      </w:r>
      <w:r w:rsidRPr="005602A7">
        <w:rPr>
          <w:rFonts w:ascii="Garamond" w:hAnsi="Garamond"/>
        </w:rPr>
        <w:t xml:space="preserve"> </w:t>
      </w:r>
      <w:proofErr w:type="spellStart"/>
      <w:r w:rsidR="0011737E" w:rsidRPr="005602A7">
        <w:rPr>
          <w:rFonts w:ascii="Garamond" w:hAnsi="Garamond"/>
        </w:rPr>
        <w:t>Ryngaert</w:t>
      </w:r>
      <w:proofErr w:type="spellEnd"/>
      <w:r w:rsidR="0011737E" w:rsidRPr="005602A7">
        <w:rPr>
          <w:rFonts w:ascii="Garamond" w:hAnsi="Garamond"/>
        </w:rPr>
        <w:t xml:space="preserve">, </w:t>
      </w:r>
      <w:r w:rsidR="0011737E" w:rsidRPr="005602A7">
        <w:rPr>
          <w:rFonts w:ascii="Garamond" w:hAnsi="Garamond"/>
          <w:i/>
          <w:iCs/>
        </w:rPr>
        <w:t xml:space="preserve">supra </w:t>
      </w:r>
      <w:r w:rsidR="0011737E" w:rsidRPr="005602A7">
        <w:rPr>
          <w:rFonts w:ascii="Garamond" w:hAnsi="Garamond"/>
        </w:rPr>
        <w:t xml:space="preserve">note 4. </w:t>
      </w:r>
    </w:p>
  </w:footnote>
  <w:footnote w:id="244">
    <w:p w14:paraId="64DA24C2" w14:textId="61AD2949" w:rsidR="00F85800" w:rsidRPr="005602A7" w:rsidRDefault="00F85800"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11737E" w:rsidRPr="005602A7">
        <w:rPr>
          <w:rFonts w:ascii="Garamond" w:hAnsi="Garamond" w:cs="Times New Roman"/>
          <w:smallCaps/>
          <w:lang w:val="en-US"/>
        </w:rPr>
        <w:t>de Wet,</w:t>
      </w:r>
      <w:r w:rsidR="0011737E" w:rsidRPr="005602A7">
        <w:rPr>
          <w:rFonts w:ascii="Garamond" w:hAnsi="Garamond" w:cs="Times New Roman"/>
          <w:lang w:val="en-US"/>
        </w:rPr>
        <w:t xml:space="preserve"> </w:t>
      </w:r>
      <w:r w:rsidR="00F12B63" w:rsidRPr="005602A7">
        <w:rPr>
          <w:rFonts w:ascii="Garamond" w:hAnsi="Garamond" w:cs="Times New Roman"/>
          <w:smallCaps/>
          <w:lang w:val="en-US"/>
        </w:rPr>
        <w:t>Military Assistance on Request and the Use of Force</w:t>
      </w:r>
      <w:r w:rsidR="00F12B63" w:rsidRPr="005602A7">
        <w:rPr>
          <w:rFonts w:ascii="Garamond" w:hAnsi="Garamond" w:cs="Times New Roman"/>
          <w:i/>
          <w:iCs/>
          <w:lang w:val="en-US"/>
        </w:rPr>
        <w:t xml:space="preserve"> </w:t>
      </w:r>
      <w:r w:rsidR="0011737E" w:rsidRPr="005602A7">
        <w:rPr>
          <w:rFonts w:ascii="Garamond" w:hAnsi="Garamond" w:cs="Times New Roman"/>
          <w:i/>
          <w:iCs/>
          <w:lang w:val="en-US"/>
        </w:rPr>
        <w:t>supra</w:t>
      </w:r>
      <w:r w:rsidR="0011737E" w:rsidRPr="005602A7">
        <w:rPr>
          <w:rFonts w:ascii="Garamond" w:hAnsi="Garamond" w:cs="Times New Roman"/>
          <w:lang w:val="en-US"/>
        </w:rPr>
        <w:t xml:space="preserve"> note 6, at </w:t>
      </w:r>
      <w:r w:rsidRPr="005602A7">
        <w:rPr>
          <w:rFonts w:ascii="Garamond" w:hAnsi="Garamond"/>
        </w:rPr>
        <w:t>Chapter 3.</w:t>
      </w:r>
    </w:p>
  </w:footnote>
  <w:footnote w:id="245">
    <w:p w14:paraId="4C3E7DCC" w14:textId="46F6948F" w:rsidR="00A262A5" w:rsidRPr="001C2B14" w:rsidRDefault="00A262A5" w:rsidP="001340AF">
      <w:pPr>
        <w:pStyle w:val="FootnoteText"/>
        <w:jc w:val="both"/>
        <w:rPr>
          <w:rFonts w:ascii="Garamond" w:hAnsi="Garamond"/>
        </w:rPr>
      </w:pPr>
      <w:r w:rsidRPr="005602A7">
        <w:rPr>
          <w:rStyle w:val="FootnoteReference"/>
          <w:rFonts w:ascii="Garamond" w:hAnsi="Garamond"/>
        </w:rPr>
        <w:footnoteRef/>
      </w:r>
      <w:r w:rsidRPr="005602A7">
        <w:rPr>
          <w:rFonts w:ascii="Garamond" w:hAnsi="Garamond"/>
        </w:rPr>
        <w:t xml:space="preserve"> </w:t>
      </w:r>
      <w:r w:rsidR="0036577E" w:rsidRPr="005602A7">
        <w:rPr>
          <w:rFonts w:ascii="Garamond" w:hAnsi="Garamond"/>
        </w:rPr>
        <w:t xml:space="preserve">David </w:t>
      </w:r>
      <w:r w:rsidRPr="005602A7">
        <w:rPr>
          <w:rFonts w:ascii="Garamond" w:hAnsi="Garamond"/>
        </w:rPr>
        <w:t>Luban</w:t>
      </w:r>
      <w:r w:rsidR="0036577E" w:rsidRPr="005602A7">
        <w:rPr>
          <w:rFonts w:ascii="Garamond" w:hAnsi="Garamond"/>
        </w:rPr>
        <w:t xml:space="preserve">, </w:t>
      </w:r>
      <w:r w:rsidR="0036577E" w:rsidRPr="005602A7">
        <w:rPr>
          <w:rFonts w:ascii="Garamond" w:hAnsi="Garamond"/>
          <w:i/>
          <w:iCs/>
        </w:rPr>
        <w:t xml:space="preserve">Just War and Human Rights, </w:t>
      </w:r>
      <w:r w:rsidR="00C94570" w:rsidRPr="005602A7">
        <w:rPr>
          <w:rFonts w:ascii="Garamond" w:hAnsi="Garamond"/>
        </w:rPr>
        <w:t xml:space="preserve">9(2) </w:t>
      </w:r>
      <w:r w:rsidR="0036577E" w:rsidRPr="005602A7">
        <w:rPr>
          <w:rFonts w:ascii="Garamond" w:hAnsi="Garamond"/>
          <w:smallCaps/>
        </w:rPr>
        <w:t>Philosophy &amp; Public Affairs</w:t>
      </w:r>
      <w:r w:rsidR="0036577E" w:rsidRPr="005602A7">
        <w:rPr>
          <w:rFonts w:ascii="Garamond" w:hAnsi="Garamond"/>
        </w:rPr>
        <w:t xml:space="preserve">, </w:t>
      </w:r>
      <w:r w:rsidR="00C94570" w:rsidRPr="005602A7">
        <w:rPr>
          <w:rFonts w:ascii="Garamond" w:hAnsi="Garamond"/>
        </w:rPr>
        <w:t>160, at p.  165-166 (</w:t>
      </w:r>
      <w:r w:rsidR="0036577E" w:rsidRPr="005602A7">
        <w:rPr>
          <w:rFonts w:ascii="Garamond" w:hAnsi="Garamond"/>
        </w:rPr>
        <w:t>1980</w:t>
      </w:r>
      <w:r w:rsidR="00C94570" w:rsidRPr="005602A7">
        <w:rPr>
          <w:rFonts w:ascii="Garamond" w:hAnsi="Garamond"/>
        </w:rPr>
        <w:t>)</w:t>
      </w:r>
      <w:r w:rsidRPr="005602A7">
        <w:rPr>
          <w:rFonts w:ascii="Garamond" w:hAnsi="Garamond"/>
        </w:rPr>
        <w:t>.</w:t>
      </w:r>
      <w:r w:rsidRPr="001C2B14">
        <w:rPr>
          <w:rFonts w:ascii="Garamond" w:hAnsi="Garamon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641D"/>
    <w:multiLevelType w:val="multilevel"/>
    <w:tmpl w:val="D5CA30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782C58"/>
    <w:multiLevelType w:val="hybridMultilevel"/>
    <w:tmpl w:val="DAC67B5A"/>
    <w:lvl w:ilvl="0" w:tplc="956CB94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5972398"/>
    <w:multiLevelType w:val="hybridMultilevel"/>
    <w:tmpl w:val="085045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09294C"/>
    <w:multiLevelType w:val="hybridMultilevel"/>
    <w:tmpl w:val="A9B0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9064F"/>
    <w:multiLevelType w:val="hybridMultilevel"/>
    <w:tmpl w:val="003AE9F0"/>
    <w:lvl w:ilvl="0" w:tplc="3B0A47C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C9364F"/>
    <w:multiLevelType w:val="hybridMultilevel"/>
    <w:tmpl w:val="C51A118C"/>
    <w:lvl w:ilvl="0" w:tplc="3482AC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BD7BFE"/>
    <w:multiLevelType w:val="hybridMultilevel"/>
    <w:tmpl w:val="50FEB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D352FA"/>
    <w:multiLevelType w:val="hybridMultilevel"/>
    <w:tmpl w:val="2632A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301FB2"/>
    <w:multiLevelType w:val="hybridMultilevel"/>
    <w:tmpl w:val="22F682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022863"/>
    <w:multiLevelType w:val="hybridMultilevel"/>
    <w:tmpl w:val="C25CCCF0"/>
    <w:lvl w:ilvl="0" w:tplc="ADE83F68">
      <w:numFmt w:val="bullet"/>
      <w:lvlText w:val="-"/>
      <w:lvlJc w:val="left"/>
      <w:pPr>
        <w:ind w:left="720" w:hanging="360"/>
      </w:pPr>
      <w:rPr>
        <w:rFonts w:ascii="Garamond" w:eastAsiaTheme="minorHAnsi" w:hAnsi="Garamond"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6E472E"/>
    <w:multiLevelType w:val="hybridMultilevel"/>
    <w:tmpl w:val="AA366450"/>
    <w:lvl w:ilvl="0" w:tplc="CEAC3C60">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A44C9D"/>
    <w:multiLevelType w:val="multilevel"/>
    <w:tmpl w:val="E114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21EB6828"/>
    <w:multiLevelType w:val="hybridMultilevel"/>
    <w:tmpl w:val="3E7A282E"/>
    <w:lvl w:ilvl="0" w:tplc="2892E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22C04"/>
    <w:multiLevelType w:val="hybridMultilevel"/>
    <w:tmpl w:val="5F605200"/>
    <w:lvl w:ilvl="0" w:tplc="6AE2D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5D33ED"/>
    <w:multiLevelType w:val="hybridMultilevel"/>
    <w:tmpl w:val="CA327AD8"/>
    <w:lvl w:ilvl="0" w:tplc="CE46ED1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8B67B9"/>
    <w:multiLevelType w:val="hybridMultilevel"/>
    <w:tmpl w:val="CB3C64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D803C1"/>
    <w:multiLevelType w:val="multilevel"/>
    <w:tmpl w:val="6CA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C46C7"/>
    <w:multiLevelType w:val="hybridMultilevel"/>
    <w:tmpl w:val="E9D669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F3379D"/>
    <w:multiLevelType w:val="hybridMultilevel"/>
    <w:tmpl w:val="E30A9B94"/>
    <w:lvl w:ilvl="0" w:tplc="0DD0496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95C42BD"/>
    <w:multiLevelType w:val="hybridMultilevel"/>
    <w:tmpl w:val="F1944734"/>
    <w:lvl w:ilvl="0" w:tplc="A55AF8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B9F0327"/>
    <w:multiLevelType w:val="multilevel"/>
    <w:tmpl w:val="7EA4D4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BF27109"/>
    <w:multiLevelType w:val="hybridMultilevel"/>
    <w:tmpl w:val="D076B8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D2867D9"/>
    <w:multiLevelType w:val="hybridMultilevel"/>
    <w:tmpl w:val="C9D8E5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D5E6D84"/>
    <w:multiLevelType w:val="hybridMultilevel"/>
    <w:tmpl w:val="9E84A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7475CC"/>
    <w:multiLevelType w:val="hybridMultilevel"/>
    <w:tmpl w:val="CEE01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00534A8"/>
    <w:multiLevelType w:val="hybridMultilevel"/>
    <w:tmpl w:val="FF56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C1CA6"/>
    <w:multiLevelType w:val="hybridMultilevel"/>
    <w:tmpl w:val="F058124E"/>
    <w:lvl w:ilvl="0" w:tplc="B45843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2056909"/>
    <w:multiLevelType w:val="hybridMultilevel"/>
    <w:tmpl w:val="06FE888A"/>
    <w:lvl w:ilvl="0" w:tplc="78CA6E26">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86476BB"/>
    <w:multiLevelType w:val="hybridMultilevel"/>
    <w:tmpl w:val="F19447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627A31"/>
    <w:multiLevelType w:val="hybridMultilevel"/>
    <w:tmpl w:val="8A266D98"/>
    <w:lvl w:ilvl="0" w:tplc="026E90EE">
      <w:start w:val="1"/>
      <w:numFmt w:val="lowerRoman"/>
      <w:lvlText w:val="%1."/>
      <w:lvlJc w:val="left"/>
      <w:pPr>
        <w:ind w:left="720" w:hanging="360"/>
      </w:pPr>
      <w:rPr>
        <w:rFonts w:ascii="Garamond" w:eastAsiaTheme="minorHAnsi" w:hAnsi="Garamond"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D9043FB"/>
    <w:multiLevelType w:val="hybridMultilevel"/>
    <w:tmpl w:val="B57CD034"/>
    <w:lvl w:ilvl="0" w:tplc="04DA66B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F7C20ED"/>
    <w:multiLevelType w:val="hybridMultilevel"/>
    <w:tmpl w:val="FBB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A0F60"/>
    <w:multiLevelType w:val="hybridMultilevel"/>
    <w:tmpl w:val="57B8A7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119029B"/>
    <w:multiLevelType w:val="hybridMultilevel"/>
    <w:tmpl w:val="42A4EE50"/>
    <w:lvl w:ilvl="0" w:tplc="A2808F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0F106E"/>
    <w:multiLevelType w:val="hybridMultilevel"/>
    <w:tmpl w:val="747633AA"/>
    <w:lvl w:ilvl="0" w:tplc="407C5E98">
      <w:start w:val="1"/>
      <w:numFmt w:val="bullet"/>
      <w:lvlText w:val="-"/>
      <w:lvlJc w:val="left"/>
      <w:pPr>
        <w:ind w:left="720" w:hanging="360"/>
      </w:pPr>
      <w:rPr>
        <w:rFonts w:ascii="Garamond" w:eastAsiaTheme="minorHAnsi" w:hAnsi="Garamond"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50D1AEE"/>
    <w:multiLevelType w:val="hybridMultilevel"/>
    <w:tmpl w:val="1EB2D97C"/>
    <w:lvl w:ilvl="0" w:tplc="BD0AC68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64A2C02"/>
    <w:multiLevelType w:val="hybridMultilevel"/>
    <w:tmpl w:val="C6F0A0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8586CE4"/>
    <w:multiLevelType w:val="multilevel"/>
    <w:tmpl w:val="2FDA3E42"/>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8C67CD5"/>
    <w:multiLevelType w:val="hybridMultilevel"/>
    <w:tmpl w:val="FD2E99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2D30A1E"/>
    <w:multiLevelType w:val="hybridMultilevel"/>
    <w:tmpl w:val="1110DD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5A82854"/>
    <w:multiLevelType w:val="hybridMultilevel"/>
    <w:tmpl w:val="D4D822B8"/>
    <w:lvl w:ilvl="0" w:tplc="638C521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84E4B3E"/>
    <w:multiLevelType w:val="hybridMultilevel"/>
    <w:tmpl w:val="32C8991A"/>
    <w:lvl w:ilvl="0" w:tplc="6B6A6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DC59D0"/>
    <w:multiLevelType w:val="hybridMultilevel"/>
    <w:tmpl w:val="8F0E9828"/>
    <w:lvl w:ilvl="0" w:tplc="6B0ADFBA">
      <w:numFmt w:val="bullet"/>
      <w:lvlText w:val="-"/>
      <w:lvlJc w:val="left"/>
      <w:pPr>
        <w:ind w:left="720" w:hanging="360"/>
      </w:pPr>
      <w:rPr>
        <w:rFonts w:ascii="Garamond" w:eastAsiaTheme="minorHAnsi" w:hAnsi="Garamond"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E143F5A"/>
    <w:multiLevelType w:val="multilevel"/>
    <w:tmpl w:val="E288412C"/>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16cid:durableId="272858621">
    <w:abstractNumId w:val="42"/>
  </w:num>
  <w:num w:numId="2" w16cid:durableId="640616658">
    <w:abstractNumId w:val="7"/>
  </w:num>
  <w:num w:numId="3" w16cid:durableId="569123067">
    <w:abstractNumId w:val="26"/>
  </w:num>
  <w:num w:numId="4" w16cid:durableId="1238320735">
    <w:abstractNumId w:val="10"/>
  </w:num>
  <w:num w:numId="5" w16cid:durableId="529949514">
    <w:abstractNumId w:val="24"/>
  </w:num>
  <w:num w:numId="6" w16cid:durableId="1454597253">
    <w:abstractNumId w:val="39"/>
  </w:num>
  <w:num w:numId="7" w16cid:durableId="1117333099">
    <w:abstractNumId w:val="38"/>
  </w:num>
  <w:num w:numId="8" w16cid:durableId="163054259">
    <w:abstractNumId w:val="40"/>
  </w:num>
  <w:num w:numId="9" w16cid:durableId="1841773495">
    <w:abstractNumId w:val="34"/>
  </w:num>
  <w:num w:numId="10" w16cid:durableId="646059445">
    <w:abstractNumId w:val="2"/>
  </w:num>
  <w:num w:numId="11" w16cid:durableId="1954706388">
    <w:abstractNumId w:val="37"/>
  </w:num>
  <w:num w:numId="12" w16cid:durableId="987783195">
    <w:abstractNumId w:val="32"/>
  </w:num>
  <w:num w:numId="13" w16cid:durableId="691614883">
    <w:abstractNumId w:val="20"/>
  </w:num>
  <w:num w:numId="14" w16cid:durableId="251820328">
    <w:abstractNumId w:val="19"/>
  </w:num>
  <w:num w:numId="15" w16cid:durableId="886723555">
    <w:abstractNumId w:val="28"/>
  </w:num>
  <w:num w:numId="16" w16cid:durableId="208037946">
    <w:abstractNumId w:val="9"/>
  </w:num>
  <w:num w:numId="17" w16cid:durableId="1543861262">
    <w:abstractNumId w:val="29"/>
  </w:num>
  <w:num w:numId="18" w16cid:durableId="926618290">
    <w:abstractNumId w:val="36"/>
  </w:num>
  <w:num w:numId="19" w16cid:durableId="631440646">
    <w:abstractNumId w:val="21"/>
  </w:num>
  <w:num w:numId="20" w16cid:durableId="1638682538">
    <w:abstractNumId w:val="5"/>
  </w:num>
  <w:num w:numId="21" w16cid:durableId="1261795943">
    <w:abstractNumId w:val="8"/>
  </w:num>
  <w:num w:numId="22" w16cid:durableId="718434315">
    <w:abstractNumId w:val="6"/>
  </w:num>
  <w:num w:numId="23" w16cid:durableId="108860488">
    <w:abstractNumId w:val="43"/>
  </w:num>
  <w:num w:numId="24" w16cid:durableId="337270008">
    <w:abstractNumId w:val="17"/>
  </w:num>
  <w:num w:numId="25" w16cid:durableId="1660621796">
    <w:abstractNumId w:val="23"/>
  </w:num>
  <w:num w:numId="26" w16cid:durableId="1502815325">
    <w:abstractNumId w:val="0"/>
  </w:num>
  <w:num w:numId="27" w16cid:durableId="99379299">
    <w:abstractNumId w:val="35"/>
  </w:num>
  <w:num w:numId="28" w16cid:durableId="2067676344">
    <w:abstractNumId w:val="4"/>
  </w:num>
  <w:num w:numId="29" w16cid:durableId="1188828811">
    <w:abstractNumId w:val="30"/>
  </w:num>
  <w:num w:numId="30" w16cid:durableId="949969898">
    <w:abstractNumId w:val="22"/>
  </w:num>
  <w:num w:numId="31" w16cid:durableId="380134988">
    <w:abstractNumId w:val="27"/>
  </w:num>
  <w:num w:numId="32" w16cid:durableId="1238515145">
    <w:abstractNumId w:val="18"/>
  </w:num>
  <w:num w:numId="33" w16cid:durableId="1267734261">
    <w:abstractNumId w:val="15"/>
  </w:num>
  <w:num w:numId="34" w16cid:durableId="987981385">
    <w:abstractNumId w:val="1"/>
  </w:num>
  <w:num w:numId="35" w16cid:durableId="100153107">
    <w:abstractNumId w:val="11"/>
  </w:num>
  <w:num w:numId="36" w16cid:durableId="1244216526">
    <w:abstractNumId w:val="14"/>
  </w:num>
  <w:num w:numId="37" w16cid:durableId="2007517249">
    <w:abstractNumId w:val="16"/>
  </w:num>
  <w:num w:numId="38" w16cid:durableId="1157694499">
    <w:abstractNumId w:val="3"/>
  </w:num>
  <w:num w:numId="39" w16cid:durableId="95369189">
    <w:abstractNumId w:val="12"/>
  </w:num>
  <w:num w:numId="40" w16cid:durableId="290208746">
    <w:abstractNumId w:val="33"/>
  </w:num>
  <w:num w:numId="41" w16cid:durableId="613826244">
    <w:abstractNumId w:val="41"/>
  </w:num>
  <w:num w:numId="42" w16cid:durableId="1016541416">
    <w:abstractNumId w:val="25"/>
  </w:num>
  <w:num w:numId="43" w16cid:durableId="110324951">
    <w:abstractNumId w:val="13"/>
  </w:num>
  <w:num w:numId="44" w16cid:durableId="21088434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D1"/>
    <w:rsid w:val="00000415"/>
    <w:rsid w:val="00000B1F"/>
    <w:rsid w:val="00000F6C"/>
    <w:rsid w:val="00001BD1"/>
    <w:rsid w:val="00002A20"/>
    <w:rsid w:val="00002DD5"/>
    <w:rsid w:val="000037F6"/>
    <w:rsid w:val="000038D4"/>
    <w:rsid w:val="000045C6"/>
    <w:rsid w:val="000045FB"/>
    <w:rsid w:val="000051C9"/>
    <w:rsid w:val="000055CC"/>
    <w:rsid w:val="00005E57"/>
    <w:rsid w:val="00006445"/>
    <w:rsid w:val="00006534"/>
    <w:rsid w:val="000067A7"/>
    <w:rsid w:val="00006AF2"/>
    <w:rsid w:val="00006D38"/>
    <w:rsid w:val="00006F8E"/>
    <w:rsid w:val="00007712"/>
    <w:rsid w:val="000079CE"/>
    <w:rsid w:val="00007AB7"/>
    <w:rsid w:val="00007B73"/>
    <w:rsid w:val="00010B2C"/>
    <w:rsid w:val="00010D70"/>
    <w:rsid w:val="00010F07"/>
    <w:rsid w:val="00011619"/>
    <w:rsid w:val="00011762"/>
    <w:rsid w:val="00011925"/>
    <w:rsid w:val="00011B8F"/>
    <w:rsid w:val="00012138"/>
    <w:rsid w:val="000125BA"/>
    <w:rsid w:val="000126AF"/>
    <w:rsid w:val="00012DCB"/>
    <w:rsid w:val="00012DF8"/>
    <w:rsid w:val="00013053"/>
    <w:rsid w:val="0001332F"/>
    <w:rsid w:val="00013770"/>
    <w:rsid w:val="000137ED"/>
    <w:rsid w:val="000139B6"/>
    <w:rsid w:val="00013B21"/>
    <w:rsid w:val="00013B56"/>
    <w:rsid w:val="00014775"/>
    <w:rsid w:val="00014958"/>
    <w:rsid w:val="00015179"/>
    <w:rsid w:val="00015730"/>
    <w:rsid w:val="000157FE"/>
    <w:rsid w:val="00015B5E"/>
    <w:rsid w:val="00015CE5"/>
    <w:rsid w:val="00016348"/>
    <w:rsid w:val="00020147"/>
    <w:rsid w:val="000201AD"/>
    <w:rsid w:val="00020C55"/>
    <w:rsid w:val="000211D2"/>
    <w:rsid w:val="00021269"/>
    <w:rsid w:val="000213C1"/>
    <w:rsid w:val="00021670"/>
    <w:rsid w:val="0002254A"/>
    <w:rsid w:val="00022557"/>
    <w:rsid w:val="000229C3"/>
    <w:rsid w:val="00022F63"/>
    <w:rsid w:val="00023023"/>
    <w:rsid w:val="000232A8"/>
    <w:rsid w:val="000237C0"/>
    <w:rsid w:val="00023AB6"/>
    <w:rsid w:val="00023BA8"/>
    <w:rsid w:val="00023BC3"/>
    <w:rsid w:val="000240BC"/>
    <w:rsid w:val="000240ED"/>
    <w:rsid w:val="0002435D"/>
    <w:rsid w:val="000246CF"/>
    <w:rsid w:val="0002499F"/>
    <w:rsid w:val="00024F1A"/>
    <w:rsid w:val="0002509A"/>
    <w:rsid w:val="000250EE"/>
    <w:rsid w:val="0002554B"/>
    <w:rsid w:val="00027014"/>
    <w:rsid w:val="00027845"/>
    <w:rsid w:val="000278EA"/>
    <w:rsid w:val="00030161"/>
    <w:rsid w:val="0003032E"/>
    <w:rsid w:val="00030404"/>
    <w:rsid w:val="00030864"/>
    <w:rsid w:val="00030D0C"/>
    <w:rsid w:val="0003126C"/>
    <w:rsid w:val="00031292"/>
    <w:rsid w:val="00032933"/>
    <w:rsid w:val="00032F93"/>
    <w:rsid w:val="00033C5C"/>
    <w:rsid w:val="0003402E"/>
    <w:rsid w:val="000340DF"/>
    <w:rsid w:val="00034151"/>
    <w:rsid w:val="00034DB2"/>
    <w:rsid w:val="000352B2"/>
    <w:rsid w:val="00035947"/>
    <w:rsid w:val="00035D70"/>
    <w:rsid w:val="00035E61"/>
    <w:rsid w:val="00035EAE"/>
    <w:rsid w:val="000361E9"/>
    <w:rsid w:val="00036299"/>
    <w:rsid w:val="00036596"/>
    <w:rsid w:val="00037812"/>
    <w:rsid w:val="00037A1B"/>
    <w:rsid w:val="00037B88"/>
    <w:rsid w:val="00037C21"/>
    <w:rsid w:val="00040130"/>
    <w:rsid w:val="00040D0D"/>
    <w:rsid w:val="00040F81"/>
    <w:rsid w:val="000413EF"/>
    <w:rsid w:val="000416E5"/>
    <w:rsid w:val="00041809"/>
    <w:rsid w:val="00042131"/>
    <w:rsid w:val="000425A0"/>
    <w:rsid w:val="0004263A"/>
    <w:rsid w:val="00042BDF"/>
    <w:rsid w:val="00042C3F"/>
    <w:rsid w:val="00042DE7"/>
    <w:rsid w:val="00042F98"/>
    <w:rsid w:val="0004335D"/>
    <w:rsid w:val="000433A8"/>
    <w:rsid w:val="00043938"/>
    <w:rsid w:val="00044247"/>
    <w:rsid w:val="00044AB9"/>
    <w:rsid w:val="00044BF0"/>
    <w:rsid w:val="000451C4"/>
    <w:rsid w:val="00045975"/>
    <w:rsid w:val="00045B75"/>
    <w:rsid w:val="000460CC"/>
    <w:rsid w:val="0004641D"/>
    <w:rsid w:val="000464C8"/>
    <w:rsid w:val="00046501"/>
    <w:rsid w:val="0004657C"/>
    <w:rsid w:val="0004708B"/>
    <w:rsid w:val="00047400"/>
    <w:rsid w:val="00047787"/>
    <w:rsid w:val="00047A1F"/>
    <w:rsid w:val="00050A64"/>
    <w:rsid w:val="00051404"/>
    <w:rsid w:val="00051A11"/>
    <w:rsid w:val="00051D8C"/>
    <w:rsid w:val="00051FB2"/>
    <w:rsid w:val="000530CF"/>
    <w:rsid w:val="00053B11"/>
    <w:rsid w:val="000542FB"/>
    <w:rsid w:val="00054854"/>
    <w:rsid w:val="00054B10"/>
    <w:rsid w:val="0005506E"/>
    <w:rsid w:val="00055071"/>
    <w:rsid w:val="0005507E"/>
    <w:rsid w:val="000553A2"/>
    <w:rsid w:val="000559B3"/>
    <w:rsid w:val="00055AEE"/>
    <w:rsid w:val="00055B94"/>
    <w:rsid w:val="00056518"/>
    <w:rsid w:val="00056621"/>
    <w:rsid w:val="00056671"/>
    <w:rsid w:val="000568BF"/>
    <w:rsid w:val="000568C9"/>
    <w:rsid w:val="00056B4C"/>
    <w:rsid w:val="00056C83"/>
    <w:rsid w:val="0005731E"/>
    <w:rsid w:val="0006003E"/>
    <w:rsid w:val="0006013A"/>
    <w:rsid w:val="00060431"/>
    <w:rsid w:val="00060B1A"/>
    <w:rsid w:val="00060EBB"/>
    <w:rsid w:val="00061160"/>
    <w:rsid w:val="00061B27"/>
    <w:rsid w:val="00061F02"/>
    <w:rsid w:val="00061F04"/>
    <w:rsid w:val="00061F14"/>
    <w:rsid w:val="000621EB"/>
    <w:rsid w:val="00062597"/>
    <w:rsid w:val="00062BE9"/>
    <w:rsid w:val="00062C5D"/>
    <w:rsid w:val="00062FE3"/>
    <w:rsid w:val="00063257"/>
    <w:rsid w:val="000633AF"/>
    <w:rsid w:val="000634C3"/>
    <w:rsid w:val="00063A32"/>
    <w:rsid w:val="00063B6D"/>
    <w:rsid w:val="00063E65"/>
    <w:rsid w:val="000646BC"/>
    <w:rsid w:val="0006548F"/>
    <w:rsid w:val="00065D74"/>
    <w:rsid w:val="00066CA0"/>
    <w:rsid w:val="000670C4"/>
    <w:rsid w:val="00067766"/>
    <w:rsid w:val="00067D89"/>
    <w:rsid w:val="000705E9"/>
    <w:rsid w:val="0007095D"/>
    <w:rsid w:val="000712F2"/>
    <w:rsid w:val="00071672"/>
    <w:rsid w:val="00071C1E"/>
    <w:rsid w:val="000722D2"/>
    <w:rsid w:val="00072411"/>
    <w:rsid w:val="00073266"/>
    <w:rsid w:val="000732C0"/>
    <w:rsid w:val="000733B7"/>
    <w:rsid w:val="00073B44"/>
    <w:rsid w:val="00073C1A"/>
    <w:rsid w:val="000740F2"/>
    <w:rsid w:val="000746F2"/>
    <w:rsid w:val="00074C64"/>
    <w:rsid w:val="00074EC6"/>
    <w:rsid w:val="00075037"/>
    <w:rsid w:val="00075923"/>
    <w:rsid w:val="0007592F"/>
    <w:rsid w:val="00075AB2"/>
    <w:rsid w:val="00076406"/>
    <w:rsid w:val="000774B2"/>
    <w:rsid w:val="00077523"/>
    <w:rsid w:val="000776E8"/>
    <w:rsid w:val="0008099F"/>
    <w:rsid w:val="00080C8D"/>
    <w:rsid w:val="0008131E"/>
    <w:rsid w:val="00081ABB"/>
    <w:rsid w:val="00081C5D"/>
    <w:rsid w:val="0008228D"/>
    <w:rsid w:val="00082F3E"/>
    <w:rsid w:val="000833A1"/>
    <w:rsid w:val="000835AA"/>
    <w:rsid w:val="00083883"/>
    <w:rsid w:val="0008408D"/>
    <w:rsid w:val="00084D32"/>
    <w:rsid w:val="00084F03"/>
    <w:rsid w:val="0008550A"/>
    <w:rsid w:val="000855C9"/>
    <w:rsid w:val="00085D52"/>
    <w:rsid w:val="00087BCF"/>
    <w:rsid w:val="00087C7F"/>
    <w:rsid w:val="00087C8D"/>
    <w:rsid w:val="00087F8A"/>
    <w:rsid w:val="000900A3"/>
    <w:rsid w:val="000900E7"/>
    <w:rsid w:val="00090C85"/>
    <w:rsid w:val="00090F3B"/>
    <w:rsid w:val="00091B26"/>
    <w:rsid w:val="00092596"/>
    <w:rsid w:val="00092793"/>
    <w:rsid w:val="000929F6"/>
    <w:rsid w:val="00092D91"/>
    <w:rsid w:val="000935A7"/>
    <w:rsid w:val="00093693"/>
    <w:rsid w:val="00093D64"/>
    <w:rsid w:val="00093DB9"/>
    <w:rsid w:val="000946FC"/>
    <w:rsid w:val="00094808"/>
    <w:rsid w:val="00094991"/>
    <w:rsid w:val="00094EE7"/>
    <w:rsid w:val="00095379"/>
    <w:rsid w:val="00095998"/>
    <w:rsid w:val="00095C2F"/>
    <w:rsid w:val="0009606C"/>
    <w:rsid w:val="000961FC"/>
    <w:rsid w:val="0009629E"/>
    <w:rsid w:val="00096504"/>
    <w:rsid w:val="00096752"/>
    <w:rsid w:val="00096A77"/>
    <w:rsid w:val="00096F60"/>
    <w:rsid w:val="00096F85"/>
    <w:rsid w:val="000972B3"/>
    <w:rsid w:val="000A01D9"/>
    <w:rsid w:val="000A0907"/>
    <w:rsid w:val="000A1389"/>
    <w:rsid w:val="000A18EC"/>
    <w:rsid w:val="000A1918"/>
    <w:rsid w:val="000A1A11"/>
    <w:rsid w:val="000A1C18"/>
    <w:rsid w:val="000A208A"/>
    <w:rsid w:val="000A2B0C"/>
    <w:rsid w:val="000A3005"/>
    <w:rsid w:val="000A3C61"/>
    <w:rsid w:val="000A3D97"/>
    <w:rsid w:val="000A40F6"/>
    <w:rsid w:val="000A41FB"/>
    <w:rsid w:val="000A50DE"/>
    <w:rsid w:val="000A5487"/>
    <w:rsid w:val="000A5A7C"/>
    <w:rsid w:val="000A5A87"/>
    <w:rsid w:val="000A5A8E"/>
    <w:rsid w:val="000A6337"/>
    <w:rsid w:val="000A6608"/>
    <w:rsid w:val="000A696A"/>
    <w:rsid w:val="000A69C0"/>
    <w:rsid w:val="000A6B13"/>
    <w:rsid w:val="000A7715"/>
    <w:rsid w:val="000A7926"/>
    <w:rsid w:val="000B03E6"/>
    <w:rsid w:val="000B0545"/>
    <w:rsid w:val="000B0B52"/>
    <w:rsid w:val="000B0D1D"/>
    <w:rsid w:val="000B0DF8"/>
    <w:rsid w:val="000B0EFE"/>
    <w:rsid w:val="000B1418"/>
    <w:rsid w:val="000B1419"/>
    <w:rsid w:val="000B151B"/>
    <w:rsid w:val="000B179F"/>
    <w:rsid w:val="000B2054"/>
    <w:rsid w:val="000B212A"/>
    <w:rsid w:val="000B2678"/>
    <w:rsid w:val="000B3237"/>
    <w:rsid w:val="000B32A3"/>
    <w:rsid w:val="000B45C0"/>
    <w:rsid w:val="000B5A07"/>
    <w:rsid w:val="000B5A38"/>
    <w:rsid w:val="000B62EE"/>
    <w:rsid w:val="000B62F1"/>
    <w:rsid w:val="000B68CE"/>
    <w:rsid w:val="000B6BE1"/>
    <w:rsid w:val="000B6D37"/>
    <w:rsid w:val="000B6E84"/>
    <w:rsid w:val="000B70DD"/>
    <w:rsid w:val="000B7161"/>
    <w:rsid w:val="000B7324"/>
    <w:rsid w:val="000B7A49"/>
    <w:rsid w:val="000B7C61"/>
    <w:rsid w:val="000C029A"/>
    <w:rsid w:val="000C051B"/>
    <w:rsid w:val="000C08D9"/>
    <w:rsid w:val="000C0980"/>
    <w:rsid w:val="000C0999"/>
    <w:rsid w:val="000C0CBB"/>
    <w:rsid w:val="000C1045"/>
    <w:rsid w:val="000C14D0"/>
    <w:rsid w:val="000C16BF"/>
    <w:rsid w:val="000C1801"/>
    <w:rsid w:val="000C1D73"/>
    <w:rsid w:val="000C1DF6"/>
    <w:rsid w:val="000C1DFA"/>
    <w:rsid w:val="000C2E86"/>
    <w:rsid w:val="000C302C"/>
    <w:rsid w:val="000C31CF"/>
    <w:rsid w:val="000C351A"/>
    <w:rsid w:val="000C42DF"/>
    <w:rsid w:val="000C4508"/>
    <w:rsid w:val="000C47D7"/>
    <w:rsid w:val="000C4E8A"/>
    <w:rsid w:val="000C535E"/>
    <w:rsid w:val="000C54D2"/>
    <w:rsid w:val="000C5DCF"/>
    <w:rsid w:val="000C6211"/>
    <w:rsid w:val="000C68D2"/>
    <w:rsid w:val="000C739F"/>
    <w:rsid w:val="000C78B0"/>
    <w:rsid w:val="000D0036"/>
    <w:rsid w:val="000D01C5"/>
    <w:rsid w:val="000D0AF3"/>
    <w:rsid w:val="000D101D"/>
    <w:rsid w:val="000D11A5"/>
    <w:rsid w:val="000D1DE5"/>
    <w:rsid w:val="000D2349"/>
    <w:rsid w:val="000D2623"/>
    <w:rsid w:val="000D2B93"/>
    <w:rsid w:val="000D3091"/>
    <w:rsid w:val="000D3242"/>
    <w:rsid w:val="000D42D6"/>
    <w:rsid w:val="000D480F"/>
    <w:rsid w:val="000D4914"/>
    <w:rsid w:val="000D4BF8"/>
    <w:rsid w:val="000D51EF"/>
    <w:rsid w:val="000D52B8"/>
    <w:rsid w:val="000D5D3D"/>
    <w:rsid w:val="000D5EA3"/>
    <w:rsid w:val="000D5F3D"/>
    <w:rsid w:val="000D6543"/>
    <w:rsid w:val="000D67AB"/>
    <w:rsid w:val="000D6C60"/>
    <w:rsid w:val="000D7192"/>
    <w:rsid w:val="000D7515"/>
    <w:rsid w:val="000D783A"/>
    <w:rsid w:val="000D795F"/>
    <w:rsid w:val="000E01D5"/>
    <w:rsid w:val="000E06B0"/>
    <w:rsid w:val="000E0D84"/>
    <w:rsid w:val="000E14A0"/>
    <w:rsid w:val="000E1686"/>
    <w:rsid w:val="000E1746"/>
    <w:rsid w:val="000E2957"/>
    <w:rsid w:val="000E2E67"/>
    <w:rsid w:val="000E2FAD"/>
    <w:rsid w:val="000E31A2"/>
    <w:rsid w:val="000E3CA0"/>
    <w:rsid w:val="000E4E93"/>
    <w:rsid w:val="000E4F74"/>
    <w:rsid w:val="000E5412"/>
    <w:rsid w:val="000E5451"/>
    <w:rsid w:val="000E5460"/>
    <w:rsid w:val="000E5E1D"/>
    <w:rsid w:val="000E6096"/>
    <w:rsid w:val="000E75A3"/>
    <w:rsid w:val="000E7611"/>
    <w:rsid w:val="000E7CE1"/>
    <w:rsid w:val="000E7E76"/>
    <w:rsid w:val="000E7FF1"/>
    <w:rsid w:val="000F0D1D"/>
    <w:rsid w:val="000F0DDB"/>
    <w:rsid w:val="000F177F"/>
    <w:rsid w:val="000F17DA"/>
    <w:rsid w:val="000F1941"/>
    <w:rsid w:val="000F19E7"/>
    <w:rsid w:val="000F1B16"/>
    <w:rsid w:val="000F1CFB"/>
    <w:rsid w:val="000F2706"/>
    <w:rsid w:val="000F40D7"/>
    <w:rsid w:val="000F4E9D"/>
    <w:rsid w:val="000F50AB"/>
    <w:rsid w:val="000F5C47"/>
    <w:rsid w:val="000F6224"/>
    <w:rsid w:val="000F6507"/>
    <w:rsid w:val="000F66DB"/>
    <w:rsid w:val="000F6751"/>
    <w:rsid w:val="000F679D"/>
    <w:rsid w:val="000F6BCA"/>
    <w:rsid w:val="000F6D26"/>
    <w:rsid w:val="000F6F62"/>
    <w:rsid w:val="000F740F"/>
    <w:rsid w:val="000F7527"/>
    <w:rsid w:val="000F7941"/>
    <w:rsid w:val="000F79A5"/>
    <w:rsid w:val="000F7F83"/>
    <w:rsid w:val="0010028F"/>
    <w:rsid w:val="0010058B"/>
    <w:rsid w:val="00100746"/>
    <w:rsid w:val="00100B5C"/>
    <w:rsid w:val="00100CB3"/>
    <w:rsid w:val="00100F35"/>
    <w:rsid w:val="0010111D"/>
    <w:rsid w:val="001013C1"/>
    <w:rsid w:val="00101C74"/>
    <w:rsid w:val="00101F47"/>
    <w:rsid w:val="00102658"/>
    <w:rsid w:val="0010283B"/>
    <w:rsid w:val="00102B7C"/>
    <w:rsid w:val="00102D80"/>
    <w:rsid w:val="00102ED6"/>
    <w:rsid w:val="0010328F"/>
    <w:rsid w:val="001033CE"/>
    <w:rsid w:val="001034F6"/>
    <w:rsid w:val="0010395C"/>
    <w:rsid w:val="00103AE2"/>
    <w:rsid w:val="00103EAE"/>
    <w:rsid w:val="00104A90"/>
    <w:rsid w:val="00104CB7"/>
    <w:rsid w:val="00104F82"/>
    <w:rsid w:val="001053EC"/>
    <w:rsid w:val="00105683"/>
    <w:rsid w:val="00106242"/>
    <w:rsid w:val="0010699F"/>
    <w:rsid w:val="00106CA6"/>
    <w:rsid w:val="00106CF6"/>
    <w:rsid w:val="00106FB0"/>
    <w:rsid w:val="0010711D"/>
    <w:rsid w:val="001079D2"/>
    <w:rsid w:val="001103CA"/>
    <w:rsid w:val="001113EC"/>
    <w:rsid w:val="00111893"/>
    <w:rsid w:val="00111ADE"/>
    <w:rsid w:val="00111BBD"/>
    <w:rsid w:val="00111D04"/>
    <w:rsid w:val="00111D34"/>
    <w:rsid w:val="0011217F"/>
    <w:rsid w:val="00112191"/>
    <w:rsid w:val="00113042"/>
    <w:rsid w:val="001132AB"/>
    <w:rsid w:val="001136F0"/>
    <w:rsid w:val="0011377E"/>
    <w:rsid w:val="00113C48"/>
    <w:rsid w:val="001144CE"/>
    <w:rsid w:val="00114E78"/>
    <w:rsid w:val="00114FB6"/>
    <w:rsid w:val="001151A7"/>
    <w:rsid w:val="0011521E"/>
    <w:rsid w:val="00115375"/>
    <w:rsid w:val="0011662E"/>
    <w:rsid w:val="00117037"/>
    <w:rsid w:val="0011737E"/>
    <w:rsid w:val="00117C37"/>
    <w:rsid w:val="00117E1A"/>
    <w:rsid w:val="0012034B"/>
    <w:rsid w:val="00120E8D"/>
    <w:rsid w:val="00121480"/>
    <w:rsid w:val="001215E7"/>
    <w:rsid w:val="00121676"/>
    <w:rsid w:val="00121800"/>
    <w:rsid w:val="0012268A"/>
    <w:rsid w:val="00122A58"/>
    <w:rsid w:val="00122C7F"/>
    <w:rsid w:val="00122D7A"/>
    <w:rsid w:val="00123C5B"/>
    <w:rsid w:val="00124969"/>
    <w:rsid w:val="001257BA"/>
    <w:rsid w:val="0012584F"/>
    <w:rsid w:val="001262DA"/>
    <w:rsid w:val="00126419"/>
    <w:rsid w:val="001264FC"/>
    <w:rsid w:val="00126DBE"/>
    <w:rsid w:val="00126ECC"/>
    <w:rsid w:val="001270B9"/>
    <w:rsid w:val="001278C9"/>
    <w:rsid w:val="00127B2D"/>
    <w:rsid w:val="0013068B"/>
    <w:rsid w:val="001306EE"/>
    <w:rsid w:val="00131127"/>
    <w:rsid w:val="001314E9"/>
    <w:rsid w:val="00131737"/>
    <w:rsid w:val="00131766"/>
    <w:rsid w:val="001318F8"/>
    <w:rsid w:val="00132BE2"/>
    <w:rsid w:val="00132C8C"/>
    <w:rsid w:val="00132E39"/>
    <w:rsid w:val="00132F87"/>
    <w:rsid w:val="00132FBE"/>
    <w:rsid w:val="001330FD"/>
    <w:rsid w:val="001330FF"/>
    <w:rsid w:val="001334AB"/>
    <w:rsid w:val="00133FF7"/>
    <w:rsid w:val="001340AF"/>
    <w:rsid w:val="001344E2"/>
    <w:rsid w:val="00134651"/>
    <w:rsid w:val="0013539B"/>
    <w:rsid w:val="00135794"/>
    <w:rsid w:val="00135B2F"/>
    <w:rsid w:val="00135CD8"/>
    <w:rsid w:val="00136BFB"/>
    <w:rsid w:val="00137AC2"/>
    <w:rsid w:val="00137AC7"/>
    <w:rsid w:val="00137EEB"/>
    <w:rsid w:val="001401DB"/>
    <w:rsid w:val="001401E4"/>
    <w:rsid w:val="001403C5"/>
    <w:rsid w:val="00140694"/>
    <w:rsid w:val="00140863"/>
    <w:rsid w:val="00141576"/>
    <w:rsid w:val="00141AE6"/>
    <w:rsid w:val="00142038"/>
    <w:rsid w:val="00142478"/>
    <w:rsid w:val="0014277F"/>
    <w:rsid w:val="001433C2"/>
    <w:rsid w:val="001435BC"/>
    <w:rsid w:val="00143A69"/>
    <w:rsid w:val="00144759"/>
    <w:rsid w:val="001448FB"/>
    <w:rsid w:val="00144D6D"/>
    <w:rsid w:val="001453D7"/>
    <w:rsid w:val="001460A3"/>
    <w:rsid w:val="00146248"/>
    <w:rsid w:val="00146586"/>
    <w:rsid w:val="0014687E"/>
    <w:rsid w:val="00147566"/>
    <w:rsid w:val="0014795E"/>
    <w:rsid w:val="00150015"/>
    <w:rsid w:val="00150049"/>
    <w:rsid w:val="0015004A"/>
    <w:rsid w:val="00150358"/>
    <w:rsid w:val="00150546"/>
    <w:rsid w:val="00150FD4"/>
    <w:rsid w:val="00151FD1"/>
    <w:rsid w:val="00152084"/>
    <w:rsid w:val="00152169"/>
    <w:rsid w:val="001521D1"/>
    <w:rsid w:val="001527AC"/>
    <w:rsid w:val="001527FE"/>
    <w:rsid w:val="00152A50"/>
    <w:rsid w:val="00152A94"/>
    <w:rsid w:val="001533A4"/>
    <w:rsid w:val="0015379A"/>
    <w:rsid w:val="00154103"/>
    <w:rsid w:val="00154D4F"/>
    <w:rsid w:val="001550F0"/>
    <w:rsid w:val="00155354"/>
    <w:rsid w:val="001554A5"/>
    <w:rsid w:val="00155962"/>
    <w:rsid w:val="00155F5A"/>
    <w:rsid w:val="0015671C"/>
    <w:rsid w:val="00156F1C"/>
    <w:rsid w:val="001572F1"/>
    <w:rsid w:val="00157638"/>
    <w:rsid w:val="001577B5"/>
    <w:rsid w:val="00157BAD"/>
    <w:rsid w:val="00160DC6"/>
    <w:rsid w:val="00161B3A"/>
    <w:rsid w:val="00162196"/>
    <w:rsid w:val="001622A1"/>
    <w:rsid w:val="0016235D"/>
    <w:rsid w:val="001628F1"/>
    <w:rsid w:val="00162BF1"/>
    <w:rsid w:val="00163035"/>
    <w:rsid w:val="0016340B"/>
    <w:rsid w:val="00163566"/>
    <w:rsid w:val="00163A43"/>
    <w:rsid w:val="00163A96"/>
    <w:rsid w:val="00163BD0"/>
    <w:rsid w:val="00163E36"/>
    <w:rsid w:val="001642FE"/>
    <w:rsid w:val="00164BBA"/>
    <w:rsid w:val="001657D5"/>
    <w:rsid w:val="00165C1B"/>
    <w:rsid w:val="00165E1A"/>
    <w:rsid w:val="00166243"/>
    <w:rsid w:val="001667AA"/>
    <w:rsid w:val="00166972"/>
    <w:rsid w:val="00166986"/>
    <w:rsid w:val="00166A17"/>
    <w:rsid w:val="00166A50"/>
    <w:rsid w:val="0016742B"/>
    <w:rsid w:val="00167447"/>
    <w:rsid w:val="0016748E"/>
    <w:rsid w:val="001677C9"/>
    <w:rsid w:val="001677FF"/>
    <w:rsid w:val="001679C9"/>
    <w:rsid w:val="00167B4E"/>
    <w:rsid w:val="00167C71"/>
    <w:rsid w:val="00167D8E"/>
    <w:rsid w:val="001707D5"/>
    <w:rsid w:val="001710DC"/>
    <w:rsid w:val="001719B6"/>
    <w:rsid w:val="001726A2"/>
    <w:rsid w:val="00172749"/>
    <w:rsid w:val="00172F94"/>
    <w:rsid w:val="0017311F"/>
    <w:rsid w:val="001736D3"/>
    <w:rsid w:val="00173800"/>
    <w:rsid w:val="00173CC9"/>
    <w:rsid w:val="001743C0"/>
    <w:rsid w:val="0017456A"/>
    <w:rsid w:val="0017495A"/>
    <w:rsid w:val="0017522F"/>
    <w:rsid w:val="001757B6"/>
    <w:rsid w:val="001763AB"/>
    <w:rsid w:val="0017740C"/>
    <w:rsid w:val="00177754"/>
    <w:rsid w:val="00177C0F"/>
    <w:rsid w:val="00180818"/>
    <w:rsid w:val="00180A74"/>
    <w:rsid w:val="00180CC4"/>
    <w:rsid w:val="00180E96"/>
    <w:rsid w:val="00181540"/>
    <w:rsid w:val="001822BA"/>
    <w:rsid w:val="00182ACC"/>
    <w:rsid w:val="00182AF2"/>
    <w:rsid w:val="00183578"/>
    <w:rsid w:val="001837C9"/>
    <w:rsid w:val="00183BF2"/>
    <w:rsid w:val="00183D80"/>
    <w:rsid w:val="00183EE5"/>
    <w:rsid w:val="00184069"/>
    <w:rsid w:val="00184304"/>
    <w:rsid w:val="00184990"/>
    <w:rsid w:val="00184D35"/>
    <w:rsid w:val="00185175"/>
    <w:rsid w:val="00185607"/>
    <w:rsid w:val="00185648"/>
    <w:rsid w:val="0018575D"/>
    <w:rsid w:val="001857B2"/>
    <w:rsid w:val="001858A9"/>
    <w:rsid w:val="00185DA8"/>
    <w:rsid w:val="00186A4B"/>
    <w:rsid w:val="00186EA1"/>
    <w:rsid w:val="0018774D"/>
    <w:rsid w:val="00187BB0"/>
    <w:rsid w:val="0019118B"/>
    <w:rsid w:val="0019144E"/>
    <w:rsid w:val="001916E4"/>
    <w:rsid w:val="00191893"/>
    <w:rsid w:val="001928D8"/>
    <w:rsid w:val="00192A37"/>
    <w:rsid w:val="00192B89"/>
    <w:rsid w:val="00192F3D"/>
    <w:rsid w:val="00192F60"/>
    <w:rsid w:val="001931B6"/>
    <w:rsid w:val="0019399D"/>
    <w:rsid w:val="00193F2C"/>
    <w:rsid w:val="001941A0"/>
    <w:rsid w:val="001941E1"/>
    <w:rsid w:val="001943F5"/>
    <w:rsid w:val="00194C07"/>
    <w:rsid w:val="00194E14"/>
    <w:rsid w:val="00195155"/>
    <w:rsid w:val="00195480"/>
    <w:rsid w:val="00195A30"/>
    <w:rsid w:val="00195DE8"/>
    <w:rsid w:val="00195EB0"/>
    <w:rsid w:val="00196922"/>
    <w:rsid w:val="00196A9E"/>
    <w:rsid w:val="001970A6"/>
    <w:rsid w:val="00197261"/>
    <w:rsid w:val="00197B5C"/>
    <w:rsid w:val="00197FC7"/>
    <w:rsid w:val="001A017E"/>
    <w:rsid w:val="001A05B9"/>
    <w:rsid w:val="001A0974"/>
    <w:rsid w:val="001A111C"/>
    <w:rsid w:val="001A16DF"/>
    <w:rsid w:val="001A1EE8"/>
    <w:rsid w:val="001A236B"/>
    <w:rsid w:val="001A2823"/>
    <w:rsid w:val="001A3083"/>
    <w:rsid w:val="001A3C18"/>
    <w:rsid w:val="001A43DA"/>
    <w:rsid w:val="001A44B8"/>
    <w:rsid w:val="001A478B"/>
    <w:rsid w:val="001A4843"/>
    <w:rsid w:val="001A4F96"/>
    <w:rsid w:val="001A5963"/>
    <w:rsid w:val="001A64DF"/>
    <w:rsid w:val="001A6563"/>
    <w:rsid w:val="001A666C"/>
    <w:rsid w:val="001A6B62"/>
    <w:rsid w:val="001A6BBD"/>
    <w:rsid w:val="001A6C91"/>
    <w:rsid w:val="001A6CBA"/>
    <w:rsid w:val="001A77CF"/>
    <w:rsid w:val="001A7A9A"/>
    <w:rsid w:val="001A7ACD"/>
    <w:rsid w:val="001B0450"/>
    <w:rsid w:val="001B0839"/>
    <w:rsid w:val="001B0915"/>
    <w:rsid w:val="001B10CA"/>
    <w:rsid w:val="001B123B"/>
    <w:rsid w:val="001B12A8"/>
    <w:rsid w:val="001B1393"/>
    <w:rsid w:val="001B1B64"/>
    <w:rsid w:val="001B23BC"/>
    <w:rsid w:val="001B2435"/>
    <w:rsid w:val="001B2A16"/>
    <w:rsid w:val="001B2DE0"/>
    <w:rsid w:val="001B3395"/>
    <w:rsid w:val="001B3DD6"/>
    <w:rsid w:val="001B44B9"/>
    <w:rsid w:val="001B46AA"/>
    <w:rsid w:val="001B47DC"/>
    <w:rsid w:val="001B5429"/>
    <w:rsid w:val="001B5480"/>
    <w:rsid w:val="001B5844"/>
    <w:rsid w:val="001B5AC6"/>
    <w:rsid w:val="001B61F0"/>
    <w:rsid w:val="001B62A3"/>
    <w:rsid w:val="001B66A6"/>
    <w:rsid w:val="001B6808"/>
    <w:rsid w:val="001B6C5E"/>
    <w:rsid w:val="001B7C0A"/>
    <w:rsid w:val="001C01B9"/>
    <w:rsid w:val="001C03D0"/>
    <w:rsid w:val="001C097D"/>
    <w:rsid w:val="001C1627"/>
    <w:rsid w:val="001C1B31"/>
    <w:rsid w:val="001C1B44"/>
    <w:rsid w:val="001C1DE2"/>
    <w:rsid w:val="001C236B"/>
    <w:rsid w:val="001C2B14"/>
    <w:rsid w:val="001C3742"/>
    <w:rsid w:val="001C399C"/>
    <w:rsid w:val="001C3B85"/>
    <w:rsid w:val="001C3FA5"/>
    <w:rsid w:val="001C4678"/>
    <w:rsid w:val="001C4A3F"/>
    <w:rsid w:val="001C4F5C"/>
    <w:rsid w:val="001C53D6"/>
    <w:rsid w:val="001C5879"/>
    <w:rsid w:val="001C5C80"/>
    <w:rsid w:val="001C673C"/>
    <w:rsid w:val="001C67CC"/>
    <w:rsid w:val="001C68D9"/>
    <w:rsid w:val="001C6A37"/>
    <w:rsid w:val="001C7250"/>
    <w:rsid w:val="001C79EB"/>
    <w:rsid w:val="001C7C61"/>
    <w:rsid w:val="001D0313"/>
    <w:rsid w:val="001D0C53"/>
    <w:rsid w:val="001D0E05"/>
    <w:rsid w:val="001D258F"/>
    <w:rsid w:val="001D27A4"/>
    <w:rsid w:val="001D28A3"/>
    <w:rsid w:val="001D2E67"/>
    <w:rsid w:val="001D36D4"/>
    <w:rsid w:val="001D3D5E"/>
    <w:rsid w:val="001D3E96"/>
    <w:rsid w:val="001D3E97"/>
    <w:rsid w:val="001D41D6"/>
    <w:rsid w:val="001D4260"/>
    <w:rsid w:val="001D4470"/>
    <w:rsid w:val="001D4593"/>
    <w:rsid w:val="001D4BB6"/>
    <w:rsid w:val="001D4FF4"/>
    <w:rsid w:val="001D5551"/>
    <w:rsid w:val="001D5948"/>
    <w:rsid w:val="001D59C8"/>
    <w:rsid w:val="001D5B62"/>
    <w:rsid w:val="001D6802"/>
    <w:rsid w:val="001D68BC"/>
    <w:rsid w:val="001D755B"/>
    <w:rsid w:val="001D76F3"/>
    <w:rsid w:val="001D7E0E"/>
    <w:rsid w:val="001E0466"/>
    <w:rsid w:val="001E0840"/>
    <w:rsid w:val="001E1705"/>
    <w:rsid w:val="001E1A24"/>
    <w:rsid w:val="001E1CD9"/>
    <w:rsid w:val="001E1FDF"/>
    <w:rsid w:val="001E2162"/>
    <w:rsid w:val="001E2231"/>
    <w:rsid w:val="001E29DF"/>
    <w:rsid w:val="001E3831"/>
    <w:rsid w:val="001E3DC9"/>
    <w:rsid w:val="001E5563"/>
    <w:rsid w:val="001E5920"/>
    <w:rsid w:val="001E5CFC"/>
    <w:rsid w:val="001E644C"/>
    <w:rsid w:val="001E6588"/>
    <w:rsid w:val="001E6746"/>
    <w:rsid w:val="001E6E81"/>
    <w:rsid w:val="001E7C5A"/>
    <w:rsid w:val="001E7CF8"/>
    <w:rsid w:val="001F0003"/>
    <w:rsid w:val="001F03E4"/>
    <w:rsid w:val="001F0DD2"/>
    <w:rsid w:val="001F1C93"/>
    <w:rsid w:val="001F228C"/>
    <w:rsid w:val="001F2631"/>
    <w:rsid w:val="001F26A7"/>
    <w:rsid w:val="001F275F"/>
    <w:rsid w:val="001F2C2B"/>
    <w:rsid w:val="001F2E0D"/>
    <w:rsid w:val="001F2E2F"/>
    <w:rsid w:val="001F347D"/>
    <w:rsid w:val="001F3DA2"/>
    <w:rsid w:val="001F3FA5"/>
    <w:rsid w:val="001F48CB"/>
    <w:rsid w:val="001F4A0E"/>
    <w:rsid w:val="001F51EA"/>
    <w:rsid w:val="001F5282"/>
    <w:rsid w:val="001F5824"/>
    <w:rsid w:val="001F5A0B"/>
    <w:rsid w:val="001F5D74"/>
    <w:rsid w:val="001F604F"/>
    <w:rsid w:val="001F6166"/>
    <w:rsid w:val="001F61F8"/>
    <w:rsid w:val="001F64AC"/>
    <w:rsid w:val="001F6826"/>
    <w:rsid w:val="001F6A11"/>
    <w:rsid w:val="001F7060"/>
    <w:rsid w:val="001F76C3"/>
    <w:rsid w:val="002011B8"/>
    <w:rsid w:val="0020122E"/>
    <w:rsid w:val="00201A8C"/>
    <w:rsid w:val="00201E19"/>
    <w:rsid w:val="00203A99"/>
    <w:rsid w:val="00203B51"/>
    <w:rsid w:val="002044B1"/>
    <w:rsid w:val="002048F5"/>
    <w:rsid w:val="00205781"/>
    <w:rsid w:val="00205C3E"/>
    <w:rsid w:val="00205CBE"/>
    <w:rsid w:val="00205CD3"/>
    <w:rsid w:val="00206528"/>
    <w:rsid w:val="0021050C"/>
    <w:rsid w:val="00210690"/>
    <w:rsid w:val="00210C7A"/>
    <w:rsid w:val="00210CCD"/>
    <w:rsid w:val="00210D9D"/>
    <w:rsid w:val="00210F44"/>
    <w:rsid w:val="00211263"/>
    <w:rsid w:val="00211429"/>
    <w:rsid w:val="002115B8"/>
    <w:rsid w:val="00211E89"/>
    <w:rsid w:val="00211F67"/>
    <w:rsid w:val="0021295A"/>
    <w:rsid w:val="00214376"/>
    <w:rsid w:val="0021549F"/>
    <w:rsid w:val="00215737"/>
    <w:rsid w:val="002159FD"/>
    <w:rsid w:val="00215BC1"/>
    <w:rsid w:val="002166E5"/>
    <w:rsid w:val="002168E9"/>
    <w:rsid w:val="00216B41"/>
    <w:rsid w:val="00217200"/>
    <w:rsid w:val="002174A4"/>
    <w:rsid w:val="00217FBA"/>
    <w:rsid w:val="002202B2"/>
    <w:rsid w:val="00220B89"/>
    <w:rsid w:val="00221A5E"/>
    <w:rsid w:val="00221BB2"/>
    <w:rsid w:val="0022222C"/>
    <w:rsid w:val="002224E8"/>
    <w:rsid w:val="00222F28"/>
    <w:rsid w:val="002230B7"/>
    <w:rsid w:val="0022461E"/>
    <w:rsid w:val="00224C16"/>
    <w:rsid w:val="00224E26"/>
    <w:rsid w:val="002254B9"/>
    <w:rsid w:val="00225828"/>
    <w:rsid w:val="00225EA3"/>
    <w:rsid w:val="0022603C"/>
    <w:rsid w:val="00226400"/>
    <w:rsid w:val="00226CE3"/>
    <w:rsid w:val="00226D92"/>
    <w:rsid w:val="00227006"/>
    <w:rsid w:val="00227229"/>
    <w:rsid w:val="00227382"/>
    <w:rsid w:val="0022759C"/>
    <w:rsid w:val="00227BBC"/>
    <w:rsid w:val="00227DB4"/>
    <w:rsid w:val="00227F98"/>
    <w:rsid w:val="002304CD"/>
    <w:rsid w:val="00230678"/>
    <w:rsid w:val="00230AA8"/>
    <w:rsid w:val="00230BCD"/>
    <w:rsid w:val="0023146E"/>
    <w:rsid w:val="0023163B"/>
    <w:rsid w:val="002325E2"/>
    <w:rsid w:val="0023271E"/>
    <w:rsid w:val="00232F99"/>
    <w:rsid w:val="00233100"/>
    <w:rsid w:val="002331A0"/>
    <w:rsid w:val="00233510"/>
    <w:rsid w:val="002336A8"/>
    <w:rsid w:val="00234012"/>
    <w:rsid w:val="0023465C"/>
    <w:rsid w:val="00235462"/>
    <w:rsid w:val="0023578C"/>
    <w:rsid w:val="00235873"/>
    <w:rsid w:val="002359E5"/>
    <w:rsid w:val="00235AFC"/>
    <w:rsid w:val="002360F8"/>
    <w:rsid w:val="0023646E"/>
    <w:rsid w:val="00236E38"/>
    <w:rsid w:val="002376BA"/>
    <w:rsid w:val="00237B8C"/>
    <w:rsid w:val="00237C2A"/>
    <w:rsid w:val="00237C5C"/>
    <w:rsid w:val="00240ADD"/>
    <w:rsid w:val="00240CC1"/>
    <w:rsid w:val="00241177"/>
    <w:rsid w:val="00241A46"/>
    <w:rsid w:val="0024230F"/>
    <w:rsid w:val="00243120"/>
    <w:rsid w:val="002435DF"/>
    <w:rsid w:val="002435EA"/>
    <w:rsid w:val="00243DE6"/>
    <w:rsid w:val="00243FD9"/>
    <w:rsid w:val="00244170"/>
    <w:rsid w:val="002443DA"/>
    <w:rsid w:val="00244684"/>
    <w:rsid w:val="00244C1D"/>
    <w:rsid w:val="00244DDD"/>
    <w:rsid w:val="002453C2"/>
    <w:rsid w:val="002457CC"/>
    <w:rsid w:val="00245831"/>
    <w:rsid w:val="00245FEB"/>
    <w:rsid w:val="00246774"/>
    <w:rsid w:val="0024679E"/>
    <w:rsid w:val="00246990"/>
    <w:rsid w:val="00246DD8"/>
    <w:rsid w:val="00247318"/>
    <w:rsid w:val="0024766A"/>
    <w:rsid w:val="002479E0"/>
    <w:rsid w:val="00247FE0"/>
    <w:rsid w:val="00250366"/>
    <w:rsid w:val="00250D97"/>
    <w:rsid w:val="00251547"/>
    <w:rsid w:val="00251624"/>
    <w:rsid w:val="0025165A"/>
    <w:rsid w:val="0025192F"/>
    <w:rsid w:val="002519F3"/>
    <w:rsid w:val="00251FD0"/>
    <w:rsid w:val="00252C99"/>
    <w:rsid w:val="002539AF"/>
    <w:rsid w:val="00253B7A"/>
    <w:rsid w:val="00253C6E"/>
    <w:rsid w:val="00253E66"/>
    <w:rsid w:val="002546EF"/>
    <w:rsid w:val="002547A1"/>
    <w:rsid w:val="0025485A"/>
    <w:rsid w:val="00254988"/>
    <w:rsid w:val="00254CE2"/>
    <w:rsid w:val="00254D27"/>
    <w:rsid w:val="00255438"/>
    <w:rsid w:val="002563AD"/>
    <w:rsid w:val="002563EF"/>
    <w:rsid w:val="00256D4F"/>
    <w:rsid w:val="002574C1"/>
    <w:rsid w:val="00257602"/>
    <w:rsid w:val="0025774E"/>
    <w:rsid w:val="002603B9"/>
    <w:rsid w:val="00260F0D"/>
    <w:rsid w:val="002614FF"/>
    <w:rsid w:val="002617BE"/>
    <w:rsid w:val="002619BC"/>
    <w:rsid w:val="00261AF8"/>
    <w:rsid w:val="002620A4"/>
    <w:rsid w:val="0026235E"/>
    <w:rsid w:val="00262E27"/>
    <w:rsid w:val="00263456"/>
    <w:rsid w:val="00263DB0"/>
    <w:rsid w:val="00263F1A"/>
    <w:rsid w:val="002649F1"/>
    <w:rsid w:val="00265445"/>
    <w:rsid w:val="00265632"/>
    <w:rsid w:val="00265B55"/>
    <w:rsid w:val="00265EE5"/>
    <w:rsid w:val="00266400"/>
    <w:rsid w:val="002665D9"/>
    <w:rsid w:val="00266CC4"/>
    <w:rsid w:val="00266ECE"/>
    <w:rsid w:val="002676B5"/>
    <w:rsid w:val="0026773B"/>
    <w:rsid w:val="00267A1F"/>
    <w:rsid w:val="00267AE5"/>
    <w:rsid w:val="00267BF8"/>
    <w:rsid w:val="002703F5"/>
    <w:rsid w:val="002709FC"/>
    <w:rsid w:val="00270CBD"/>
    <w:rsid w:val="00270F3D"/>
    <w:rsid w:val="002714DC"/>
    <w:rsid w:val="00271578"/>
    <w:rsid w:val="00271C93"/>
    <w:rsid w:val="00271D34"/>
    <w:rsid w:val="0027205E"/>
    <w:rsid w:val="0027287E"/>
    <w:rsid w:val="00272B77"/>
    <w:rsid w:val="00273C09"/>
    <w:rsid w:val="00273C13"/>
    <w:rsid w:val="00273FDA"/>
    <w:rsid w:val="002746E6"/>
    <w:rsid w:val="002747B6"/>
    <w:rsid w:val="00274887"/>
    <w:rsid w:val="00274C75"/>
    <w:rsid w:val="00274E93"/>
    <w:rsid w:val="00274F42"/>
    <w:rsid w:val="00274F89"/>
    <w:rsid w:val="0027501A"/>
    <w:rsid w:val="00275340"/>
    <w:rsid w:val="00275557"/>
    <w:rsid w:val="0027579B"/>
    <w:rsid w:val="00275898"/>
    <w:rsid w:val="00275AC7"/>
    <w:rsid w:val="00275BCB"/>
    <w:rsid w:val="00275D83"/>
    <w:rsid w:val="002766C5"/>
    <w:rsid w:val="002770A8"/>
    <w:rsid w:val="0027736E"/>
    <w:rsid w:val="002773EF"/>
    <w:rsid w:val="00277412"/>
    <w:rsid w:val="00280223"/>
    <w:rsid w:val="00280FA4"/>
    <w:rsid w:val="00281A7F"/>
    <w:rsid w:val="00282358"/>
    <w:rsid w:val="002825B8"/>
    <w:rsid w:val="00282C53"/>
    <w:rsid w:val="00282CAB"/>
    <w:rsid w:val="00283504"/>
    <w:rsid w:val="00283684"/>
    <w:rsid w:val="00283813"/>
    <w:rsid w:val="002841AC"/>
    <w:rsid w:val="002842E4"/>
    <w:rsid w:val="00284469"/>
    <w:rsid w:val="00284888"/>
    <w:rsid w:val="00284AD3"/>
    <w:rsid w:val="00284AD8"/>
    <w:rsid w:val="00285FE7"/>
    <w:rsid w:val="002860B2"/>
    <w:rsid w:val="0028631A"/>
    <w:rsid w:val="00286A39"/>
    <w:rsid w:val="00286F9F"/>
    <w:rsid w:val="002870D2"/>
    <w:rsid w:val="00287377"/>
    <w:rsid w:val="00287E4F"/>
    <w:rsid w:val="00287FE0"/>
    <w:rsid w:val="002911F1"/>
    <w:rsid w:val="0029129E"/>
    <w:rsid w:val="002913BF"/>
    <w:rsid w:val="002915E1"/>
    <w:rsid w:val="00291C48"/>
    <w:rsid w:val="00291CEC"/>
    <w:rsid w:val="00292244"/>
    <w:rsid w:val="00292966"/>
    <w:rsid w:val="00292C74"/>
    <w:rsid w:val="00292EA2"/>
    <w:rsid w:val="00292F9E"/>
    <w:rsid w:val="00293140"/>
    <w:rsid w:val="00293996"/>
    <w:rsid w:val="00293C4C"/>
    <w:rsid w:val="002941E1"/>
    <w:rsid w:val="002959A2"/>
    <w:rsid w:val="00295E99"/>
    <w:rsid w:val="00297655"/>
    <w:rsid w:val="002A00CF"/>
    <w:rsid w:val="002A0599"/>
    <w:rsid w:val="002A0AF6"/>
    <w:rsid w:val="002A0D7F"/>
    <w:rsid w:val="002A0DB7"/>
    <w:rsid w:val="002A1390"/>
    <w:rsid w:val="002A181C"/>
    <w:rsid w:val="002A1B2C"/>
    <w:rsid w:val="002A1C6A"/>
    <w:rsid w:val="002A1CFB"/>
    <w:rsid w:val="002A229E"/>
    <w:rsid w:val="002A267B"/>
    <w:rsid w:val="002A29F2"/>
    <w:rsid w:val="002A3E73"/>
    <w:rsid w:val="002A3F63"/>
    <w:rsid w:val="002A4727"/>
    <w:rsid w:val="002A4B9F"/>
    <w:rsid w:val="002A4E21"/>
    <w:rsid w:val="002A5131"/>
    <w:rsid w:val="002A5F72"/>
    <w:rsid w:val="002A6E8D"/>
    <w:rsid w:val="002A73AB"/>
    <w:rsid w:val="002A7522"/>
    <w:rsid w:val="002B0392"/>
    <w:rsid w:val="002B0460"/>
    <w:rsid w:val="002B08B5"/>
    <w:rsid w:val="002B0FE3"/>
    <w:rsid w:val="002B12D2"/>
    <w:rsid w:val="002B13FD"/>
    <w:rsid w:val="002B1417"/>
    <w:rsid w:val="002B173E"/>
    <w:rsid w:val="002B2321"/>
    <w:rsid w:val="002B2358"/>
    <w:rsid w:val="002B2392"/>
    <w:rsid w:val="002B2B57"/>
    <w:rsid w:val="002B2FE8"/>
    <w:rsid w:val="002B326B"/>
    <w:rsid w:val="002B3679"/>
    <w:rsid w:val="002B4377"/>
    <w:rsid w:val="002B46AD"/>
    <w:rsid w:val="002B5268"/>
    <w:rsid w:val="002B65D3"/>
    <w:rsid w:val="002B68F0"/>
    <w:rsid w:val="002B6DCE"/>
    <w:rsid w:val="002B708B"/>
    <w:rsid w:val="002B73B4"/>
    <w:rsid w:val="002B7A17"/>
    <w:rsid w:val="002B7D74"/>
    <w:rsid w:val="002C016E"/>
    <w:rsid w:val="002C02E8"/>
    <w:rsid w:val="002C0774"/>
    <w:rsid w:val="002C0ACD"/>
    <w:rsid w:val="002C0E84"/>
    <w:rsid w:val="002C156B"/>
    <w:rsid w:val="002C17E4"/>
    <w:rsid w:val="002C1F36"/>
    <w:rsid w:val="002C229D"/>
    <w:rsid w:val="002C231D"/>
    <w:rsid w:val="002C2762"/>
    <w:rsid w:val="002C2881"/>
    <w:rsid w:val="002C28E6"/>
    <w:rsid w:val="002C3308"/>
    <w:rsid w:val="002C359C"/>
    <w:rsid w:val="002C3AFB"/>
    <w:rsid w:val="002C3CE3"/>
    <w:rsid w:val="002C3D24"/>
    <w:rsid w:val="002C3E36"/>
    <w:rsid w:val="002C3EA9"/>
    <w:rsid w:val="002C3F9B"/>
    <w:rsid w:val="002C4FD1"/>
    <w:rsid w:val="002C5355"/>
    <w:rsid w:val="002C5DE8"/>
    <w:rsid w:val="002C5E36"/>
    <w:rsid w:val="002C685A"/>
    <w:rsid w:val="002C70DC"/>
    <w:rsid w:val="002C70F1"/>
    <w:rsid w:val="002C7252"/>
    <w:rsid w:val="002C74D4"/>
    <w:rsid w:val="002C757E"/>
    <w:rsid w:val="002C7978"/>
    <w:rsid w:val="002C7CBA"/>
    <w:rsid w:val="002D00B2"/>
    <w:rsid w:val="002D01F8"/>
    <w:rsid w:val="002D0E91"/>
    <w:rsid w:val="002D10DE"/>
    <w:rsid w:val="002D18D0"/>
    <w:rsid w:val="002D1A43"/>
    <w:rsid w:val="002D1F8C"/>
    <w:rsid w:val="002D25D3"/>
    <w:rsid w:val="002D26F7"/>
    <w:rsid w:val="002D329E"/>
    <w:rsid w:val="002D34F4"/>
    <w:rsid w:val="002D3589"/>
    <w:rsid w:val="002D4BFC"/>
    <w:rsid w:val="002D5AC1"/>
    <w:rsid w:val="002D60C4"/>
    <w:rsid w:val="002D6CCC"/>
    <w:rsid w:val="002D6DA1"/>
    <w:rsid w:val="002D7101"/>
    <w:rsid w:val="002D73EC"/>
    <w:rsid w:val="002D760F"/>
    <w:rsid w:val="002D7F4B"/>
    <w:rsid w:val="002E014D"/>
    <w:rsid w:val="002E0BE1"/>
    <w:rsid w:val="002E1F13"/>
    <w:rsid w:val="002E2386"/>
    <w:rsid w:val="002E258E"/>
    <w:rsid w:val="002E2626"/>
    <w:rsid w:val="002E26FA"/>
    <w:rsid w:val="002E27E4"/>
    <w:rsid w:val="002E3188"/>
    <w:rsid w:val="002E31A3"/>
    <w:rsid w:val="002E3706"/>
    <w:rsid w:val="002E3A48"/>
    <w:rsid w:val="002E3D68"/>
    <w:rsid w:val="002E420B"/>
    <w:rsid w:val="002E4218"/>
    <w:rsid w:val="002E42E1"/>
    <w:rsid w:val="002E45A9"/>
    <w:rsid w:val="002E46D9"/>
    <w:rsid w:val="002E48C6"/>
    <w:rsid w:val="002E53B8"/>
    <w:rsid w:val="002E5AE3"/>
    <w:rsid w:val="002E5E9B"/>
    <w:rsid w:val="002E5EEE"/>
    <w:rsid w:val="002E6632"/>
    <w:rsid w:val="002E6C9E"/>
    <w:rsid w:val="002E7EB7"/>
    <w:rsid w:val="002E7F05"/>
    <w:rsid w:val="002F04B6"/>
    <w:rsid w:val="002F0BDE"/>
    <w:rsid w:val="002F0DFF"/>
    <w:rsid w:val="002F1282"/>
    <w:rsid w:val="002F1C57"/>
    <w:rsid w:val="002F27DC"/>
    <w:rsid w:val="002F2B88"/>
    <w:rsid w:val="002F3328"/>
    <w:rsid w:val="002F3A66"/>
    <w:rsid w:val="002F42EC"/>
    <w:rsid w:val="002F4AA5"/>
    <w:rsid w:val="002F4D74"/>
    <w:rsid w:val="002F4DAD"/>
    <w:rsid w:val="002F5642"/>
    <w:rsid w:val="002F5836"/>
    <w:rsid w:val="002F6C1F"/>
    <w:rsid w:val="002F6DA0"/>
    <w:rsid w:val="002F6DE0"/>
    <w:rsid w:val="002F740C"/>
    <w:rsid w:val="002F7AC6"/>
    <w:rsid w:val="002F7C86"/>
    <w:rsid w:val="002F7EB9"/>
    <w:rsid w:val="002F7F1B"/>
    <w:rsid w:val="002F7F8D"/>
    <w:rsid w:val="0030072D"/>
    <w:rsid w:val="003007CE"/>
    <w:rsid w:val="00300EC3"/>
    <w:rsid w:val="00301294"/>
    <w:rsid w:val="0030168D"/>
    <w:rsid w:val="003017BC"/>
    <w:rsid w:val="00301BFB"/>
    <w:rsid w:val="00301DA2"/>
    <w:rsid w:val="00301FCF"/>
    <w:rsid w:val="00302D4A"/>
    <w:rsid w:val="0030357E"/>
    <w:rsid w:val="00303899"/>
    <w:rsid w:val="00303F29"/>
    <w:rsid w:val="003044D1"/>
    <w:rsid w:val="00304AD4"/>
    <w:rsid w:val="00304B73"/>
    <w:rsid w:val="00305EDB"/>
    <w:rsid w:val="00305F53"/>
    <w:rsid w:val="00306051"/>
    <w:rsid w:val="00306772"/>
    <w:rsid w:val="00307204"/>
    <w:rsid w:val="003074B2"/>
    <w:rsid w:val="00307B28"/>
    <w:rsid w:val="003101D1"/>
    <w:rsid w:val="00310CE9"/>
    <w:rsid w:val="00311693"/>
    <w:rsid w:val="003119CD"/>
    <w:rsid w:val="00311BB6"/>
    <w:rsid w:val="00312657"/>
    <w:rsid w:val="00312B83"/>
    <w:rsid w:val="0031576B"/>
    <w:rsid w:val="00315A6C"/>
    <w:rsid w:val="00316B74"/>
    <w:rsid w:val="00316F2B"/>
    <w:rsid w:val="003170AD"/>
    <w:rsid w:val="00317AA1"/>
    <w:rsid w:val="00317E72"/>
    <w:rsid w:val="00320290"/>
    <w:rsid w:val="00320784"/>
    <w:rsid w:val="00320D08"/>
    <w:rsid w:val="003226AE"/>
    <w:rsid w:val="00322D26"/>
    <w:rsid w:val="00322DE0"/>
    <w:rsid w:val="00323C59"/>
    <w:rsid w:val="00323DEF"/>
    <w:rsid w:val="00323F52"/>
    <w:rsid w:val="00324257"/>
    <w:rsid w:val="003246CA"/>
    <w:rsid w:val="00324704"/>
    <w:rsid w:val="00325231"/>
    <w:rsid w:val="0032564F"/>
    <w:rsid w:val="00325730"/>
    <w:rsid w:val="0032603D"/>
    <w:rsid w:val="003268E4"/>
    <w:rsid w:val="0032711C"/>
    <w:rsid w:val="00330108"/>
    <w:rsid w:val="0033041B"/>
    <w:rsid w:val="00330609"/>
    <w:rsid w:val="00330D5F"/>
    <w:rsid w:val="00331027"/>
    <w:rsid w:val="00331130"/>
    <w:rsid w:val="003317C0"/>
    <w:rsid w:val="00331AAD"/>
    <w:rsid w:val="00331D12"/>
    <w:rsid w:val="00332360"/>
    <w:rsid w:val="00332EAB"/>
    <w:rsid w:val="0033374F"/>
    <w:rsid w:val="0033392D"/>
    <w:rsid w:val="00333A3A"/>
    <w:rsid w:val="00333BE8"/>
    <w:rsid w:val="00334007"/>
    <w:rsid w:val="0033421C"/>
    <w:rsid w:val="00334925"/>
    <w:rsid w:val="00334B11"/>
    <w:rsid w:val="00334BE9"/>
    <w:rsid w:val="0033518E"/>
    <w:rsid w:val="0033540C"/>
    <w:rsid w:val="00335CA7"/>
    <w:rsid w:val="003361A4"/>
    <w:rsid w:val="003365FB"/>
    <w:rsid w:val="0033674F"/>
    <w:rsid w:val="00336AFC"/>
    <w:rsid w:val="00336EC1"/>
    <w:rsid w:val="00337095"/>
    <w:rsid w:val="00337650"/>
    <w:rsid w:val="00340C63"/>
    <w:rsid w:val="0034103C"/>
    <w:rsid w:val="00341BD3"/>
    <w:rsid w:val="00341E97"/>
    <w:rsid w:val="00341EEF"/>
    <w:rsid w:val="003420FC"/>
    <w:rsid w:val="00342174"/>
    <w:rsid w:val="0034228E"/>
    <w:rsid w:val="003422F8"/>
    <w:rsid w:val="00342825"/>
    <w:rsid w:val="00342932"/>
    <w:rsid w:val="00342B45"/>
    <w:rsid w:val="00343035"/>
    <w:rsid w:val="0034353F"/>
    <w:rsid w:val="00343636"/>
    <w:rsid w:val="003440A3"/>
    <w:rsid w:val="00344358"/>
    <w:rsid w:val="003444AD"/>
    <w:rsid w:val="0034473D"/>
    <w:rsid w:val="00345009"/>
    <w:rsid w:val="00345136"/>
    <w:rsid w:val="0034566A"/>
    <w:rsid w:val="00345FFC"/>
    <w:rsid w:val="003464B9"/>
    <w:rsid w:val="003469FA"/>
    <w:rsid w:val="00346A4F"/>
    <w:rsid w:val="00346B46"/>
    <w:rsid w:val="00346EBF"/>
    <w:rsid w:val="00346FBB"/>
    <w:rsid w:val="00347225"/>
    <w:rsid w:val="00347760"/>
    <w:rsid w:val="00347887"/>
    <w:rsid w:val="00347940"/>
    <w:rsid w:val="00347ED9"/>
    <w:rsid w:val="00350A1A"/>
    <w:rsid w:val="00350BFB"/>
    <w:rsid w:val="003516E8"/>
    <w:rsid w:val="00351C63"/>
    <w:rsid w:val="003527C0"/>
    <w:rsid w:val="00352CC4"/>
    <w:rsid w:val="00352F32"/>
    <w:rsid w:val="003537AC"/>
    <w:rsid w:val="0035392F"/>
    <w:rsid w:val="00353E35"/>
    <w:rsid w:val="0035419C"/>
    <w:rsid w:val="003550E0"/>
    <w:rsid w:val="00355F1F"/>
    <w:rsid w:val="003562AE"/>
    <w:rsid w:val="00356492"/>
    <w:rsid w:val="00356758"/>
    <w:rsid w:val="003567E1"/>
    <w:rsid w:val="00356A3C"/>
    <w:rsid w:val="00356F55"/>
    <w:rsid w:val="00356F8C"/>
    <w:rsid w:val="00357006"/>
    <w:rsid w:val="00357504"/>
    <w:rsid w:val="0035753C"/>
    <w:rsid w:val="003578BD"/>
    <w:rsid w:val="003578D2"/>
    <w:rsid w:val="00360ED5"/>
    <w:rsid w:val="003612EE"/>
    <w:rsid w:val="003613B0"/>
    <w:rsid w:val="00361962"/>
    <w:rsid w:val="00361976"/>
    <w:rsid w:val="00361B4F"/>
    <w:rsid w:val="0036214F"/>
    <w:rsid w:val="003621F6"/>
    <w:rsid w:val="003630AC"/>
    <w:rsid w:val="00363BFA"/>
    <w:rsid w:val="00363DAA"/>
    <w:rsid w:val="00364439"/>
    <w:rsid w:val="003645F0"/>
    <w:rsid w:val="003648A8"/>
    <w:rsid w:val="00364E8C"/>
    <w:rsid w:val="0036577E"/>
    <w:rsid w:val="003664F3"/>
    <w:rsid w:val="003667A7"/>
    <w:rsid w:val="0036711F"/>
    <w:rsid w:val="003673AF"/>
    <w:rsid w:val="0036773A"/>
    <w:rsid w:val="00367763"/>
    <w:rsid w:val="00367E46"/>
    <w:rsid w:val="00367FEE"/>
    <w:rsid w:val="00370DEC"/>
    <w:rsid w:val="00370F45"/>
    <w:rsid w:val="00371004"/>
    <w:rsid w:val="0037136C"/>
    <w:rsid w:val="00371BF8"/>
    <w:rsid w:val="003720B9"/>
    <w:rsid w:val="00372162"/>
    <w:rsid w:val="0037250A"/>
    <w:rsid w:val="0037258C"/>
    <w:rsid w:val="00372A29"/>
    <w:rsid w:val="00372EE1"/>
    <w:rsid w:val="0037310B"/>
    <w:rsid w:val="00373F32"/>
    <w:rsid w:val="003743C8"/>
    <w:rsid w:val="003749F9"/>
    <w:rsid w:val="00375064"/>
    <w:rsid w:val="00375430"/>
    <w:rsid w:val="00375BDB"/>
    <w:rsid w:val="00376FAF"/>
    <w:rsid w:val="003771E6"/>
    <w:rsid w:val="00377333"/>
    <w:rsid w:val="0037795A"/>
    <w:rsid w:val="003806CD"/>
    <w:rsid w:val="0038092A"/>
    <w:rsid w:val="00380A1E"/>
    <w:rsid w:val="00381155"/>
    <w:rsid w:val="00381AD2"/>
    <w:rsid w:val="00381CB4"/>
    <w:rsid w:val="00381E29"/>
    <w:rsid w:val="00382130"/>
    <w:rsid w:val="00382685"/>
    <w:rsid w:val="00382702"/>
    <w:rsid w:val="00382883"/>
    <w:rsid w:val="00382ECC"/>
    <w:rsid w:val="003833B3"/>
    <w:rsid w:val="003834C1"/>
    <w:rsid w:val="003837B3"/>
    <w:rsid w:val="00383FC9"/>
    <w:rsid w:val="00384221"/>
    <w:rsid w:val="00384EA4"/>
    <w:rsid w:val="00385223"/>
    <w:rsid w:val="003852E9"/>
    <w:rsid w:val="00385E65"/>
    <w:rsid w:val="0038644B"/>
    <w:rsid w:val="0038666A"/>
    <w:rsid w:val="003871C0"/>
    <w:rsid w:val="00387551"/>
    <w:rsid w:val="003902CF"/>
    <w:rsid w:val="00390B03"/>
    <w:rsid w:val="00390DF1"/>
    <w:rsid w:val="00390F6E"/>
    <w:rsid w:val="00390FB5"/>
    <w:rsid w:val="0039117B"/>
    <w:rsid w:val="0039151F"/>
    <w:rsid w:val="00391BB2"/>
    <w:rsid w:val="0039268D"/>
    <w:rsid w:val="003927AD"/>
    <w:rsid w:val="00392A74"/>
    <w:rsid w:val="00393139"/>
    <w:rsid w:val="003931BF"/>
    <w:rsid w:val="0039330F"/>
    <w:rsid w:val="00393946"/>
    <w:rsid w:val="00393B34"/>
    <w:rsid w:val="00393F05"/>
    <w:rsid w:val="003941A7"/>
    <w:rsid w:val="00394206"/>
    <w:rsid w:val="00394247"/>
    <w:rsid w:val="00394669"/>
    <w:rsid w:val="00395482"/>
    <w:rsid w:val="0039593C"/>
    <w:rsid w:val="003959CD"/>
    <w:rsid w:val="00395E19"/>
    <w:rsid w:val="00395F38"/>
    <w:rsid w:val="00395FB3"/>
    <w:rsid w:val="003962F3"/>
    <w:rsid w:val="003963D8"/>
    <w:rsid w:val="003964CD"/>
    <w:rsid w:val="00396867"/>
    <w:rsid w:val="003969C8"/>
    <w:rsid w:val="00396AC1"/>
    <w:rsid w:val="003973B9"/>
    <w:rsid w:val="00397462"/>
    <w:rsid w:val="00397B90"/>
    <w:rsid w:val="00397F6C"/>
    <w:rsid w:val="003A04F5"/>
    <w:rsid w:val="003A0667"/>
    <w:rsid w:val="003A084F"/>
    <w:rsid w:val="003A1182"/>
    <w:rsid w:val="003A1191"/>
    <w:rsid w:val="003A129A"/>
    <w:rsid w:val="003A1308"/>
    <w:rsid w:val="003A1320"/>
    <w:rsid w:val="003A1592"/>
    <w:rsid w:val="003A1D29"/>
    <w:rsid w:val="003A1DD0"/>
    <w:rsid w:val="003A2391"/>
    <w:rsid w:val="003A2438"/>
    <w:rsid w:val="003A25FD"/>
    <w:rsid w:val="003A27F4"/>
    <w:rsid w:val="003A29D9"/>
    <w:rsid w:val="003A2B93"/>
    <w:rsid w:val="003A312B"/>
    <w:rsid w:val="003A46C7"/>
    <w:rsid w:val="003A474D"/>
    <w:rsid w:val="003A5399"/>
    <w:rsid w:val="003A5956"/>
    <w:rsid w:val="003A6428"/>
    <w:rsid w:val="003A6A19"/>
    <w:rsid w:val="003A6AED"/>
    <w:rsid w:val="003A6C9C"/>
    <w:rsid w:val="003A7056"/>
    <w:rsid w:val="003A7C98"/>
    <w:rsid w:val="003B0128"/>
    <w:rsid w:val="003B038A"/>
    <w:rsid w:val="003B0569"/>
    <w:rsid w:val="003B05AE"/>
    <w:rsid w:val="003B062F"/>
    <w:rsid w:val="003B0803"/>
    <w:rsid w:val="003B09B5"/>
    <w:rsid w:val="003B121C"/>
    <w:rsid w:val="003B1525"/>
    <w:rsid w:val="003B1B62"/>
    <w:rsid w:val="003B25F9"/>
    <w:rsid w:val="003B296D"/>
    <w:rsid w:val="003B2B40"/>
    <w:rsid w:val="003B2FF5"/>
    <w:rsid w:val="003B3824"/>
    <w:rsid w:val="003B3A84"/>
    <w:rsid w:val="003B44BE"/>
    <w:rsid w:val="003B49AB"/>
    <w:rsid w:val="003B4AA4"/>
    <w:rsid w:val="003B4D03"/>
    <w:rsid w:val="003B5118"/>
    <w:rsid w:val="003B524B"/>
    <w:rsid w:val="003B52C8"/>
    <w:rsid w:val="003B54E3"/>
    <w:rsid w:val="003B5B06"/>
    <w:rsid w:val="003B5ED5"/>
    <w:rsid w:val="003B649F"/>
    <w:rsid w:val="003B69AA"/>
    <w:rsid w:val="003B70FA"/>
    <w:rsid w:val="003B7A0F"/>
    <w:rsid w:val="003B7B26"/>
    <w:rsid w:val="003B7C4A"/>
    <w:rsid w:val="003C012A"/>
    <w:rsid w:val="003C01D7"/>
    <w:rsid w:val="003C02B4"/>
    <w:rsid w:val="003C0F04"/>
    <w:rsid w:val="003C12E9"/>
    <w:rsid w:val="003C14FC"/>
    <w:rsid w:val="003C1696"/>
    <w:rsid w:val="003C1824"/>
    <w:rsid w:val="003C1940"/>
    <w:rsid w:val="003C19D2"/>
    <w:rsid w:val="003C1B7E"/>
    <w:rsid w:val="003C1F4D"/>
    <w:rsid w:val="003C28C2"/>
    <w:rsid w:val="003C2AF3"/>
    <w:rsid w:val="003C2E18"/>
    <w:rsid w:val="003C3553"/>
    <w:rsid w:val="003C3E80"/>
    <w:rsid w:val="003C3F37"/>
    <w:rsid w:val="003C42E6"/>
    <w:rsid w:val="003C4CCF"/>
    <w:rsid w:val="003C4CDB"/>
    <w:rsid w:val="003C54C2"/>
    <w:rsid w:val="003C5646"/>
    <w:rsid w:val="003C5908"/>
    <w:rsid w:val="003C59EF"/>
    <w:rsid w:val="003C6AFE"/>
    <w:rsid w:val="003C6D62"/>
    <w:rsid w:val="003C7066"/>
    <w:rsid w:val="003C70E0"/>
    <w:rsid w:val="003C7407"/>
    <w:rsid w:val="003C7574"/>
    <w:rsid w:val="003C765B"/>
    <w:rsid w:val="003C7D6F"/>
    <w:rsid w:val="003D007F"/>
    <w:rsid w:val="003D07D3"/>
    <w:rsid w:val="003D08B4"/>
    <w:rsid w:val="003D0B49"/>
    <w:rsid w:val="003D0E4E"/>
    <w:rsid w:val="003D1491"/>
    <w:rsid w:val="003D1833"/>
    <w:rsid w:val="003D1849"/>
    <w:rsid w:val="003D2621"/>
    <w:rsid w:val="003D29D9"/>
    <w:rsid w:val="003D30CC"/>
    <w:rsid w:val="003D315E"/>
    <w:rsid w:val="003D335C"/>
    <w:rsid w:val="003D35FC"/>
    <w:rsid w:val="003D36F6"/>
    <w:rsid w:val="003D3E3E"/>
    <w:rsid w:val="003D42B2"/>
    <w:rsid w:val="003D4528"/>
    <w:rsid w:val="003D45EA"/>
    <w:rsid w:val="003D4A28"/>
    <w:rsid w:val="003D5218"/>
    <w:rsid w:val="003D5535"/>
    <w:rsid w:val="003D6848"/>
    <w:rsid w:val="003D6892"/>
    <w:rsid w:val="003D696C"/>
    <w:rsid w:val="003D718A"/>
    <w:rsid w:val="003D77CE"/>
    <w:rsid w:val="003D7E56"/>
    <w:rsid w:val="003E0152"/>
    <w:rsid w:val="003E046F"/>
    <w:rsid w:val="003E04DD"/>
    <w:rsid w:val="003E0F1F"/>
    <w:rsid w:val="003E1C1C"/>
    <w:rsid w:val="003E1E38"/>
    <w:rsid w:val="003E225B"/>
    <w:rsid w:val="003E2367"/>
    <w:rsid w:val="003E2A59"/>
    <w:rsid w:val="003E2FBB"/>
    <w:rsid w:val="003E384B"/>
    <w:rsid w:val="003E3BA0"/>
    <w:rsid w:val="003E44F7"/>
    <w:rsid w:val="003E4DF1"/>
    <w:rsid w:val="003E5079"/>
    <w:rsid w:val="003E5D0A"/>
    <w:rsid w:val="003E5E24"/>
    <w:rsid w:val="003E5F5B"/>
    <w:rsid w:val="003E602B"/>
    <w:rsid w:val="003E64A4"/>
    <w:rsid w:val="003E6580"/>
    <w:rsid w:val="003E6E77"/>
    <w:rsid w:val="003E7EDC"/>
    <w:rsid w:val="003F006B"/>
    <w:rsid w:val="003F0B5E"/>
    <w:rsid w:val="003F0B92"/>
    <w:rsid w:val="003F1102"/>
    <w:rsid w:val="003F1252"/>
    <w:rsid w:val="003F2149"/>
    <w:rsid w:val="003F233C"/>
    <w:rsid w:val="003F25D0"/>
    <w:rsid w:val="003F2712"/>
    <w:rsid w:val="003F2E91"/>
    <w:rsid w:val="003F3165"/>
    <w:rsid w:val="003F35DB"/>
    <w:rsid w:val="003F37D8"/>
    <w:rsid w:val="003F42BA"/>
    <w:rsid w:val="003F4393"/>
    <w:rsid w:val="003F4442"/>
    <w:rsid w:val="003F47E8"/>
    <w:rsid w:val="003F4E29"/>
    <w:rsid w:val="003F5008"/>
    <w:rsid w:val="003F5943"/>
    <w:rsid w:val="003F5A8E"/>
    <w:rsid w:val="003F5DFC"/>
    <w:rsid w:val="003F6126"/>
    <w:rsid w:val="003F61EB"/>
    <w:rsid w:val="003F6FF5"/>
    <w:rsid w:val="003F7481"/>
    <w:rsid w:val="003F7B16"/>
    <w:rsid w:val="003F7B17"/>
    <w:rsid w:val="004007DA"/>
    <w:rsid w:val="0040171F"/>
    <w:rsid w:val="0040173D"/>
    <w:rsid w:val="0040195B"/>
    <w:rsid w:val="00401BD7"/>
    <w:rsid w:val="00401EE5"/>
    <w:rsid w:val="0040202F"/>
    <w:rsid w:val="004020E2"/>
    <w:rsid w:val="004024DD"/>
    <w:rsid w:val="00402730"/>
    <w:rsid w:val="00402B1A"/>
    <w:rsid w:val="0040326C"/>
    <w:rsid w:val="00403DBE"/>
    <w:rsid w:val="00404364"/>
    <w:rsid w:val="00404678"/>
    <w:rsid w:val="00404ADE"/>
    <w:rsid w:val="00405043"/>
    <w:rsid w:val="004058B7"/>
    <w:rsid w:val="00406004"/>
    <w:rsid w:val="0040606A"/>
    <w:rsid w:val="004065DA"/>
    <w:rsid w:val="004067FD"/>
    <w:rsid w:val="00406A78"/>
    <w:rsid w:val="00407280"/>
    <w:rsid w:val="00407F66"/>
    <w:rsid w:val="00407F7C"/>
    <w:rsid w:val="004103CF"/>
    <w:rsid w:val="0041198C"/>
    <w:rsid w:val="004122FD"/>
    <w:rsid w:val="00412436"/>
    <w:rsid w:val="00412738"/>
    <w:rsid w:val="00412CFB"/>
    <w:rsid w:val="00412F4F"/>
    <w:rsid w:val="00413389"/>
    <w:rsid w:val="00413C9E"/>
    <w:rsid w:val="00413F12"/>
    <w:rsid w:val="004149C8"/>
    <w:rsid w:val="004154C9"/>
    <w:rsid w:val="0041564B"/>
    <w:rsid w:val="00415657"/>
    <w:rsid w:val="00416210"/>
    <w:rsid w:val="0041663C"/>
    <w:rsid w:val="00421133"/>
    <w:rsid w:val="00422204"/>
    <w:rsid w:val="00422DD1"/>
    <w:rsid w:val="00424654"/>
    <w:rsid w:val="004248B7"/>
    <w:rsid w:val="00424BC0"/>
    <w:rsid w:val="004254D4"/>
    <w:rsid w:val="004254E9"/>
    <w:rsid w:val="004258F3"/>
    <w:rsid w:val="00425A3F"/>
    <w:rsid w:val="004264A0"/>
    <w:rsid w:val="004264D0"/>
    <w:rsid w:val="004266D1"/>
    <w:rsid w:val="00427294"/>
    <w:rsid w:val="004273A5"/>
    <w:rsid w:val="0042765E"/>
    <w:rsid w:val="004279F0"/>
    <w:rsid w:val="00427FB5"/>
    <w:rsid w:val="004304B7"/>
    <w:rsid w:val="0043074B"/>
    <w:rsid w:val="00430A79"/>
    <w:rsid w:val="00430B8B"/>
    <w:rsid w:val="00430F7F"/>
    <w:rsid w:val="0043169A"/>
    <w:rsid w:val="00431D53"/>
    <w:rsid w:val="00432273"/>
    <w:rsid w:val="00432EA3"/>
    <w:rsid w:val="00432F1A"/>
    <w:rsid w:val="00433829"/>
    <w:rsid w:val="0043429C"/>
    <w:rsid w:val="00434AD4"/>
    <w:rsid w:val="00434C95"/>
    <w:rsid w:val="00435143"/>
    <w:rsid w:val="00435454"/>
    <w:rsid w:val="00437176"/>
    <w:rsid w:val="00437AB2"/>
    <w:rsid w:val="00437B8B"/>
    <w:rsid w:val="00440CE8"/>
    <w:rsid w:val="00440D93"/>
    <w:rsid w:val="0044105B"/>
    <w:rsid w:val="00441361"/>
    <w:rsid w:val="00442378"/>
    <w:rsid w:val="0044289D"/>
    <w:rsid w:val="00442BAF"/>
    <w:rsid w:val="00442D51"/>
    <w:rsid w:val="00442D65"/>
    <w:rsid w:val="00442F27"/>
    <w:rsid w:val="0044376C"/>
    <w:rsid w:val="004439DF"/>
    <w:rsid w:val="00443B5C"/>
    <w:rsid w:val="00443B93"/>
    <w:rsid w:val="00444015"/>
    <w:rsid w:val="00444187"/>
    <w:rsid w:val="00444DD2"/>
    <w:rsid w:val="00445134"/>
    <w:rsid w:val="00445991"/>
    <w:rsid w:val="00445E08"/>
    <w:rsid w:val="00446AD3"/>
    <w:rsid w:val="00450612"/>
    <w:rsid w:val="0045074C"/>
    <w:rsid w:val="00450C01"/>
    <w:rsid w:val="00450DA9"/>
    <w:rsid w:val="00451284"/>
    <w:rsid w:val="00452482"/>
    <w:rsid w:val="00452B15"/>
    <w:rsid w:val="0045347F"/>
    <w:rsid w:val="004543F9"/>
    <w:rsid w:val="004548F9"/>
    <w:rsid w:val="004549F1"/>
    <w:rsid w:val="00454E79"/>
    <w:rsid w:val="00454EEE"/>
    <w:rsid w:val="00455B44"/>
    <w:rsid w:val="00456641"/>
    <w:rsid w:val="004567D4"/>
    <w:rsid w:val="00456A22"/>
    <w:rsid w:val="00456B5C"/>
    <w:rsid w:val="00457760"/>
    <w:rsid w:val="00457B59"/>
    <w:rsid w:val="00457D85"/>
    <w:rsid w:val="00457E8B"/>
    <w:rsid w:val="0046052B"/>
    <w:rsid w:val="004609BE"/>
    <w:rsid w:val="00460A5B"/>
    <w:rsid w:val="004613A6"/>
    <w:rsid w:val="004617C7"/>
    <w:rsid w:val="00461E48"/>
    <w:rsid w:val="004620F0"/>
    <w:rsid w:val="00462AF6"/>
    <w:rsid w:val="004634CB"/>
    <w:rsid w:val="00463747"/>
    <w:rsid w:val="00463A48"/>
    <w:rsid w:val="0046402E"/>
    <w:rsid w:val="00464B8D"/>
    <w:rsid w:val="00464E2D"/>
    <w:rsid w:val="00466018"/>
    <w:rsid w:val="00466614"/>
    <w:rsid w:val="00466A86"/>
    <w:rsid w:val="00466C56"/>
    <w:rsid w:val="00466F26"/>
    <w:rsid w:val="004670BE"/>
    <w:rsid w:val="00471581"/>
    <w:rsid w:val="00471587"/>
    <w:rsid w:val="004715F1"/>
    <w:rsid w:val="00471717"/>
    <w:rsid w:val="00471780"/>
    <w:rsid w:val="00471F31"/>
    <w:rsid w:val="00472C5A"/>
    <w:rsid w:val="00472FFF"/>
    <w:rsid w:val="004732F9"/>
    <w:rsid w:val="00474294"/>
    <w:rsid w:val="00474C89"/>
    <w:rsid w:val="00474D9C"/>
    <w:rsid w:val="004750F9"/>
    <w:rsid w:val="004754F0"/>
    <w:rsid w:val="00476252"/>
    <w:rsid w:val="00476C64"/>
    <w:rsid w:val="004779BC"/>
    <w:rsid w:val="0048032C"/>
    <w:rsid w:val="00480A7B"/>
    <w:rsid w:val="00480A82"/>
    <w:rsid w:val="00481111"/>
    <w:rsid w:val="004812BF"/>
    <w:rsid w:val="00481478"/>
    <w:rsid w:val="00481686"/>
    <w:rsid w:val="00481A79"/>
    <w:rsid w:val="00481DAE"/>
    <w:rsid w:val="00481E8D"/>
    <w:rsid w:val="004824AC"/>
    <w:rsid w:val="004825F9"/>
    <w:rsid w:val="00482756"/>
    <w:rsid w:val="00482859"/>
    <w:rsid w:val="00482C5A"/>
    <w:rsid w:val="00483560"/>
    <w:rsid w:val="00483584"/>
    <w:rsid w:val="004835BD"/>
    <w:rsid w:val="004835C2"/>
    <w:rsid w:val="00483A75"/>
    <w:rsid w:val="00484017"/>
    <w:rsid w:val="0048405A"/>
    <w:rsid w:val="00484156"/>
    <w:rsid w:val="00484C9C"/>
    <w:rsid w:val="00484DA3"/>
    <w:rsid w:val="0048504B"/>
    <w:rsid w:val="00485EF8"/>
    <w:rsid w:val="00486C00"/>
    <w:rsid w:val="0048733B"/>
    <w:rsid w:val="00487496"/>
    <w:rsid w:val="00487838"/>
    <w:rsid w:val="00487931"/>
    <w:rsid w:val="0049049A"/>
    <w:rsid w:val="00490758"/>
    <w:rsid w:val="00491062"/>
    <w:rsid w:val="004913C2"/>
    <w:rsid w:val="00491410"/>
    <w:rsid w:val="0049204E"/>
    <w:rsid w:val="00492071"/>
    <w:rsid w:val="0049208C"/>
    <w:rsid w:val="0049219B"/>
    <w:rsid w:val="004923D9"/>
    <w:rsid w:val="00492BC1"/>
    <w:rsid w:val="00492F9E"/>
    <w:rsid w:val="0049348D"/>
    <w:rsid w:val="004936AB"/>
    <w:rsid w:val="004939CC"/>
    <w:rsid w:val="00493B7D"/>
    <w:rsid w:val="00493E0E"/>
    <w:rsid w:val="004944C0"/>
    <w:rsid w:val="0049474B"/>
    <w:rsid w:val="004949CD"/>
    <w:rsid w:val="00494CB1"/>
    <w:rsid w:val="00495B58"/>
    <w:rsid w:val="00496756"/>
    <w:rsid w:val="00496840"/>
    <w:rsid w:val="004969A9"/>
    <w:rsid w:val="00496C14"/>
    <w:rsid w:val="00496EB0"/>
    <w:rsid w:val="004971E2"/>
    <w:rsid w:val="004975D7"/>
    <w:rsid w:val="00497AEC"/>
    <w:rsid w:val="00497E2C"/>
    <w:rsid w:val="004A035E"/>
    <w:rsid w:val="004A0AAD"/>
    <w:rsid w:val="004A12B2"/>
    <w:rsid w:val="004A1857"/>
    <w:rsid w:val="004A198F"/>
    <w:rsid w:val="004A1AF8"/>
    <w:rsid w:val="004A1E6D"/>
    <w:rsid w:val="004A2374"/>
    <w:rsid w:val="004A265D"/>
    <w:rsid w:val="004A3445"/>
    <w:rsid w:val="004A3504"/>
    <w:rsid w:val="004A3A58"/>
    <w:rsid w:val="004A3BC8"/>
    <w:rsid w:val="004A3E3E"/>
    <w:rsid w:val="004A3ED8"/>
    <w:rsid w:val="004A40FD"/>
    <w:rsid w:val="004A421F"/>
    <w:rsid w:val="004A42A7"/>
    <w:rsid w:val="004A4AB5"/>
    <w:rsid w:val="004A4F60"/>
    <w:rsid w:val="004A5717"/>
    <w:rsid w:val="004A5EAB"/>
    <w:rsid w:val="004A6BFB"/>
    <w:rsid w:val="004A6D3F"/>
    <w:rsid w:val="004A6E49"/>
    <w:rsid w:val="004A7494"/>
    <w:rsid w:val="004A76EB"/>
    <w:rsid w:val="004A78E8"/>
    <w:rsid w:val="004A7EC1"/>
    <w:rsid w:val="004B01E5"/>
    <w:rsid w:val="004B043D"/>
    <w:rsid w:val="004B0CB3"/>
    <w:rsid w:val="004B0CCA"/>
    <w:rsid w:val="004B0D79"/>
    <w:rsid w:val="004B0F79"/>
    <w:rsid w:val="004B155E"/>
    <w:rsid w:val="004B1E2F"/>
    <w:rsid w:val="004B1ED7"/>
    <w:rsid w:val="004B1FDE"/>
    <w:rsid w:val="004B20FA"/>
    <w:rsid w:val="004B307A"/>
    <w:rsid w:val="004B47A1"/>
    <w:rsid w:val="004B51D4"/>
    <w:rsid w:val="004B53CE"/>
    <w:rsid w:val="004B547F"/>
    <w:rsid w:val="004B5542"/>
    <w:rsid w:val="004B589E"/>
    <w:rsid w:val="004B5C12"/>
    <w:rsid w:val="004B645A"/>
    <w:rsid w:val="004B6D15"/>
    <w:rsid w:val="004B6F08"/>
    <w:rsid w:val="004B7144"/>
    <w:rsid w:val="004B7CF4"/>
    <w:rsid w:val="004C1130"/>
    <w:rsid w:val="004C24CF"/>
    <w:rsid w:val="004C2695"/>
    <w:rsid w:val="004C2699"/>
    <w:rsid w:val="004C3124"/>
    <w:rsid w:val="004C34D4"/>
    <w:rsid w:val="004C3964"/>
    <w:rsid w:val="004C3F6B"/>
    <w:rsid w:val="004C43BD"/>
    <w:rsid w:val="004C448C"/>
    <w:rsid w:val="004C461B"/>
    <w:rsid w:val="004C5403"/>
    <w:rsid w:val="004C5E44"/>
    <w:rsid w:val="004C6471"/>
    <w:rsid w:val="004C6617"/>
    <w:rsid w:val="004C6777"/>
    <w:rsid w:val="004C68FC"/>
    <w:rsid w:val="004C69C4"/>
    <w:rsid w:val="004C6AC1"/>
    <w:rsid w:val="004C6B4F"/>
    <w:rsid w:val="004C6C1F"/>
    <w:rsid w:val="004C6CE9"/>
    <w:rsid w:val="004C6F45"/>
    <w:rsid w:val="004C7093"/>
    <w:rsid w:val="004D02BE"/>
    <w:rsid w:val="004D041F"/>
    <w:rsid w:val="004D0845"/>
    <w:rsid w:val="004D0FF4"/>
    <w:rsid w:val="004D1B2C"/>
    <w:rsid w:val="004D1C9B"/>
    <w:rsid w:val="004D23A5"/>
    <w:rsid w:val="004D2F60"/>
    <w:rsid w:val="004D35F5"/>
    <w:rsid w:val="004D36A9"/>
    <w:rsid w:val="004D37DD"/>
    <w:rsid w:val="004D37E3"/>
    <w:rsid w:val="004D3C5F"/>
    <w:rsid w:val="004D426F"/>
    <w:rsid w:val="004D44F6"/>
    <w:rsid w:val="004D5084"/>
    <w:rsid w:val="004D545A"/>
    <w:rsid w:val="004D5561"/>
    <w:rsid w:val="004D5A06"/>
    <w:rsid w:val="004D5CD2"/>
    <w:rsid w:val="004D6063"/>
    <w:rsid w:val="004D6076"/>
    <w:rsid w:val="004D65E6"/>
    <w:rsid w:val="004D698E"/>
    <w:rsid w:val="004D75C8"/>
    <w:rsid w:val="004D7939"/>
    <w:rsid w:val="004D7D61"/>
    <w:rsid w:val="004E001E"/>
    <w:rsid w:val="004E06C0"/>
    <w:rsid w:val="004E06CC"/>
    <w:rsid w:val="004E15B9"/>
    <w:rsid w:val="004E1B18"/>
    <w:rsid w:val="004E261D"/>
    <w:rsid w:val="004E32C0"/>
    <w:rsid w:val="004E3763"/>
    <w:rsid w:val="004E3C8D"/>
    <w:rsid w:val="004E4455"/>
    <w:rsid w:val="004E47D4"/>
    <w:rsid w:val="004E48D4"/>
    <w:rsid w:val="004E4A2A"/>
    <w:rsid w:val="004E4AA4"/>
    <w:rsid w:val="004E50DD"/>
    <w:rsid w:val="004E5BC3"/>
    <w:rsid w:val="004E5CF9"/>
    <w:rsid w:val="004E6364"/>
    <w:rsid w:val="004E6508"/>
    <w:rsid w:val="004E66B8"/>
    <w:rsid w:val="004E66CE"/>
    <w:rsid w:val="004E6B22"/>
    <w:rsid w:val="004E6B7F"/>
    <w:rsid w:val="004E7BB5"/>
    <w:rsid w:val="004E7C8F"/>
    <w:rsid w:val="004F0538"/>
    <w:rsid w:val="004F0A50"/>
    <w:rsid w:val="004F17C5"/>
    <w:rsid w:val="004F1B31"/>
    <w:rsid w:val="004F1EE9"/>
    <w:rsid w:val="004F2A67"/>
    <w:rsid w:val="004F2CAB"/>
    <w:rsid w:val="004F2E1E"/>
    <w:rsid w:val="004F2FF6"/>
    <w:rsid w:val="004F3344"/>
    <w:rsid w:val="004F34BC"/>
    <w:rsid w:val="004F37BD"/>
    <w:rsid w:val="004F4503"/>
    <w:rsid w:val="004F47CA"/>
    <w:rsid w:val="004F4839"/>
    <w:rsid w:val="004F5718"/>
    <w:rsid w:val="004F5A58"/>
    <w:rsid w:val="004F5C96"/>
    <w:rsid w:val="004F5DE1"/>
    <w:rsid w:val="004F6587"/>
    <w:rsid w:val="004F66CD"/>
    <w:rsid w:val="004F737C"/>
    <w:rsid w:val="004F76E3"/>
    <w:rsid w:val="00500911"/>
    <w:rsid w:val="00500952"/>
    <w:rsid w:val="00500AD0"/>
    <w:rsid w:val="005014EB"/>
    <w:rsid w:val="00501D47"/>
    <w:rsid w:val="0050323C"/>
    <w:rsid w:val="00503B50"/>
    <w:rsid w:val="005042B8"/>
    <w:rsid w:val="005046F5"/>
    <w:rsid w:val="005047CD"/>
    <w:rsid w:val="00504853"/>
    <w:rsid w:val="005048B1"/>
    <w:rsid w:val="00504A60"/>
    <w:rsid w:val="00504B2B"/>
    <w:rsid w:val="00505362"/>
    <w:rsid w:val="005056DF"/>
    <w:rsid w:val="00505D11"/>
    <w:rsid w:val="00505F24"/>
    <w:rsid w:val="00505F8A"/>
    <w:rsid w:val="005068EB"/>
    <w:rsid w:val="00506A5E"/>
    <w:rsid w:val="00507597"/>
    <w:rsid w:val="005078DB"/>
    <w:rsid w:val="005106AA"/>
    <w:rsid w:val="005107F8"/>
    <w:rsid w:val="00510ABE"/>
    <w:rsid w:val="00511989"/>
    <w:rsid w:val="005119A9"/>
    <w:rsid w:val="00511B9B"/>
    <w:rsid w:val="00512577"/>
    <w:rsid w:val="00512735"/>
    <w:rsid w:val="0051287C"/>
    <w:rsid w:val="00512937"/>
    <w:rsid w:val="00512BAF"/>
    <w:rsid w:val="00513541"/>
    <w:rsid w:val="00513E49"/>
    <w:rsid w:val="00513F42"/>
    <w:rsid w:val="00514434"/>
    <w:rsid w:val="005144B8"/>
    <w:rsid w:val="00514A28"/>
    <w:rsid w:val="005154B4"/>
    <w:rsid w:val="005157F2"/>
    <w:rsid w:val="00515ECC"/>
    <w:rsid w:val="00516CA9"/>
    <w:rsid w:val="00516D7D"/>
    <w:rsid w:val="0051782B"/>
    <w:rsid w:val="00517DF9"/>
    <w:rsid w:val="00520018"/>
    <w:rsid w:val="00520462"/>
    <w:rsid w:val="0052055A"/>
    <w:rsid w:val="0052059F"/>
    <w:rsid w:val="00520DA4"/>
    <w:rsid w:val="00520E91"/>
    <w:rsid w:val="00521201"/>
    <w:rsid w:val="005212B7"/>
    <w:rsid w:val="00522154"/>
    <w:rsid w:val="0052245A"/>
    <w:rsid w:val="00522525"/>
    <w:rsid w:val="00522731"/>
    <w:rsid w:val="0052297F"/>
    <w:rsid w:val="00522993"/>
    <w:rsid w:val="00523783"/>
    <w:rsid w:val="0052457A"/>
    <w:rsid w:val="00524A62"/>
    <w:rsid w:val="00524CE3"/>
    <w:rsid w:val="00525182"/>
    <w:rsid w:val="005254FB"/>
    <w:rsid w:val="005257A0"/>
    <w:rsid w:val="00525A8B"/>
    <w:rsid w:val="00526A93"/>
    <w:rsid w:val="00526DE5"/>
    <w:rsid w:val="00526F65"/>
    <w:rsid w:val="00526FB6"/>
    <w:rsid w:val="00527085"/>
    <w:rsid w:val="005278AC"/>
    <w:rsid w:val="00527D77"/>
    <w:rsid w:val="00527FBD"/>
    <w:rsid w:val="00530019"/>
    <w:rsid w:val="00530A54"/>
    <w:rsid w:val="00530FB9"/>
    <w:rsid w:val="005315C2"/>
    <w:rsid w:val="00531C47"/>
    <w:rsid w:val="00531D7B"/>
    <w:rsid w:val="0053208D"/>
    <w:rsid w:val="00532097"/>
    <w:rsid w:val="0053274A"/>
    <w:rsid w:val="00532DE3"/>
    <w:rsid w:val="00533CE0"/>
    <w:rsid w:val="00533CF0"/>
    <w:rsid w:val="00533E30"/>
    <w:rsid w:val="0053476D"/>
    <w:rsid w:val="005349BF"/>
    <w:rsid w:val="005349C4"/>
    <w:rsid w:val="00534CC6"/>
    <w:rsid w:val="00534F04"/>
    <w:rsid w:val="00534FB3"/>
    <w:rsid w:val="00535343"/>
    <w:rsid w:val="0053660D"/>
    <w:rsid w:val="005366BA"/>
    <w:rsid w:val="00540079"/>
    <w:rsid w:val="005409BD"/>
    <w:rsid w:val="00540C58"/>
    <w:rsid w:val="005415B0"/>
    <w:rsid w:val="005415D4"/>
    <w:rsid w:val="00541679"/>
    <w:rsid w:val="0054195E"/>
    <w:rsid w:val="00542870"/>
    <w:rsid w:val="00542BB0"/>
    <w:rsid w:val="00542F06"/>
    <w:rsid w:val="005430A8"/>
    <w:rsid w:val="005434B4"/>
    <w:rsid w:val="00543A4B"/>
    <w:rsid w:val="00543C93"/>
    <w:rsid w:val="00544A0F"/>
    <w:rsid w:val="00544B82"/>
    <w:rsid w:val="00544E6C"/>
    <w:rsid w:val="00545A29"/>
    <w:rsid w:val="00546623"/>
    <w:rsid w:val="00546F27"/>
    <w:rsid w:val="00546FBD"/>
    <w:rsid w:val="0054700A"/>
    <w:rsid w:val="005475F8"/>
    <w:rsid w:val="00547962"/>
    <w:rsid w:val="00547B21"/>
    <w:rsid w:val="00547D3E"/>
    <w:rsid w:val="00550329"/>
    <w:rsid w:val="0055037C"/>
    <w:rsid w:val="00550590"/>
    <w:rsid w:val="005505E0"/>
    <w:rsid w:val="005506E6"/>
    <w:rsid w:val="00550719"/>
    <w:rsid w:val="00550915"/>
    <w:rsid w:val="005512B2"/>
    <w:rsid w:val="005522A7"/>
    <w:rsid w:val="00552DD7"/>
    <w:rsid w:val="005530D9"/>
    <w:rsid w:val="00553349"/>
    <w:rsid w:val="005535E5"/>
    <w:rsid w:val="005545F4"/>
    <w:rsid w:val="00554680"/>
    <w:rsid w:val="00554B95"/>
    <w:rsid w:val="00554BAC"/>
    <w:rsid w:val="005554C9"/>
    <w:rsid w:val="0055568D"/>
    <w:rsid w:val="0055588D"/>
    <w:rsid w:val="00556913"/>
    <w:rsid w:val="00556ED4"/>
    <w:rsid w:val="005571EC"/>
    <w:rsid w:val="00557208"/>
    <w:rsid w:val="0055750F"/>
    <w:rsid w:val="00557EDB"/>
    <w:rsid w:val="005602A7"/>
    <w:rsid w:val="00560646"/>
    <w:rsid w:val="0056101D"/>
    <w:rsid w:val="00561757"/>
    <w:rsid w:val="005619FA"/>
    <w:rsid w:val="00561ACB"/>
    <w:rsid w:val="00562005"/>
    <w:rsid w:val="00562230"/>
    <w:rsid w:val="00563A30"/>
    <w:rsid w:val="00563C23"/>
    <w:rsid w:val="005643B1"/>
    <w:rsid w:val="005643BD"/>
    <w:rsid w:val="00564AA0"/>
    <w:rsid w:val="0056524E"/>
    <w:rsid w:val="005658CE"/>
    <w:rsid w:val="00565A06"/>
    <w:rsid w:val="005660AF"/>
    <w:rsid w:val="00566145"/>
    <w:rsid w:val="0056652F"/>
    <w:rsid w:val="00566AB4"/>
    <w:rsid w:val="005673D8"/>
    <w:rsid w:val="0056771F"/>
    <w:rsid w:val="00570335"/>
    <w:rsid w:val="005706F9"/>
    <w:rsid w:val="00570BA0"/>
    <w:rsid w:val="00570DC2"/>
    <w:rsid w:val="00570E6D"/>
    <w:rsid w:val="00571867"/>
    <w:rsid w:val="00571A8D"/>
    <w:rsid w:val="00571AE9"/>
    <w:rsid w:val="00571CE1"/>
    <w:rsid w:val="00571FB9"/>
    <w:rsid w:val="005722E5"/>
    <w:rsid w:val="00572342"/>
    <w:rsid w:val="005729A5"/>
    <w:rsid w:val="005729CA"/>
    <w:rsid w:val="00575043"/>
    <w:rsid w:val="005762AD"/>
    <w:rsid w:val="0057639D"/>
    <w:rsid w:val="00576615"/>
    <w:rsid w:val="005774AD"/>
    <w:rsid w:val="00577605"/>
    <w:rsid w:val="00577F1C"/>
    <w:rsid w:val="00580078"/>
    <w:rsid w:val="005807AB"/>
    <w:rsid w:val="00580FDD"/>
    <w:rsid w:val="005810DA"/>
    <w:rsid w:val="005814AE"/>
    <w:rsid w:val="00581873"/>
    <w:rsid w:val="005818D6"/>
    <w:rsid w:val="00581D2D"/>
    <w:rsid w:val="00582315"/>
    <w:rsid w:val="00582C20"/>
    <w:rsid w:val="00582DAA"/>
    <w:rsid w:val="005832C0"/>
    <w:rsid w:val="005833FF"/>
    <w:rsid w:val="00583577"/>
    <w:rsid w:val="0058366F"/>
    <w:rsid w:val="00583B09"/>
    <w:rsid w:val="005841DD"/>
    <w:rsid w:val="0058437A"/>
    <w:rsid w:val="0058482C"/>
    <w:rsid w:val="00584CCD"/>
    <w:rsid w:val="00584F54"/>
    <w:rsid w:val="005858D4"/>
    <w:rsid w:val="00585C66"/>
    <w:rsid w:val="00586AC8"/>
    <w:rsid w:val="00587021"/>
    <w:rsid w:val="00587DB4"/>
    <w:rsid w:val="0059026E"/>
    <w:rsid w:val="005908CF"/>
    <w:rsid w:val="00590980"/>
    <w:rsid w:val="00590A23"/>
    <w:rsid w:val="00590E7B"/>
    <w:rsid w:val="00591022"/>
    <w:rsid w:val="005911BF"/>
    <w:rsid w:val="00591659"/>
    <w:rsid w:val="00591DCF"/>
    <w:rsid w:val="00591E0F"/>
    <w:rsid w:val="00591F2B"/>
    <w:rsid w:val="0059205F"/>
    <w:rsid w:val="005924D5"/>
    <w:rsid w:val="0059494D"/>
    <w:rsid w:val="005949BC"/>
    <w:rsid w:val="00595077"/>
    <w:rsid w:val="0059515F"/>
    <w:rsid w:val="00595434"/>
    <w:rsid w:val="00595E66"/>
    <w:rsid w:val="00596110"/>
    <w:rsid w:val="005962C2"/>
    <w:rsid w:val="00596826"/>
    <w:rsid w:val="00596BBE"/>
    <w:rsid w:val="00597C34"/>
    <w:rsid w:val="005A01B9"/>
    <w:rsid w:val="005A05C4"/>
    <w:rsid w:val="005A0875"/>
    <w:rsid w:val="005A096A"/>
    <w:rsid w:val="005A0F2D"/>
    <w:rsid w:val="005A1C8F"/>
    <w:rsid w:val="005A23B7"/>
    <w:rsid w:val="005A3658"/>
    <w:rsid w:val="005A4031"/>
    <w:rsid w:val="005A4D35"/>
    <w:rsid w:val="005A4F67"/>
    <w:rsid w:val="005A542B"/>
    <w:rsid w:val="005A5A04"/>
    <w:rsid w:val="005A5F3A"/>
    <w:rsid w:val="005A663E"/>
    <w:rsid w:val="005A6A69"/>
    <w:rsid w:val="005A6BE7"/>
    <w:rsid w:val="005A6D2C"/>
    <w:rsid w:val="005A794A"/>
    <w:rsid w:val="005B051E"/>
    <w:rsid w:val="005B0855"/>
    <w:rsid w:val="005B08BD"/>
    <w:rsid w:val="005B0DE6"/>
    <w:rsid w:val="005B1517"/>
    <w:rsid w:val="005B2307"/>
    <w:rsid w:val="005B23A0"/>
    <w:rsid w:val="005B25EA"/>
    <w:rsid w:val="005B28D2"/>
    <w:rsid w:val="005B34FD"/>
    <w:rsid w:val="005B3650"/>
    <w:rsid w:val="005B4B67"/>
    <w:rsid w:val="005B5744"/>
    <w:rsid w:val="005B5811"/>
    <w:rsid w:val="005B5944"/>
    <w:rsid w:val="005B59AE"/>
    <w:rsid w:val="005B5F4A"/>
    <w:rsid w:val="005B630B"/>
    <w:rsid w:val="005B63F7"/>
    <w:rsid w:val="005B647F"/>
    <w:rsid w:val="005B6FE0"/>
    <w:rsid w:val="005B7C5E"/>
    <w:rsid w:val="005C0034"/>
    <w:rsid w:val="005C03AE"/>
    <w:rsid w:val="005C04B9"/>
    <w:rsid w:val="005C0532"/>
    <w:rsid w:val="005C05FB"/>
    <w:rsid w:val="005C0806"/>
    <w:rsid w:val="005C0D9D"/>
    <w:rsid w:val="005C16EF"/>
    <w:rsid w:val="005C19A5"/>
    <w:rsid w:val="005C19C5"/>
    <w:rsid w:val="005C1C42"/>
    <w:rsid w:val="005C1EDF"/>
    <w:rsid w:val="005C1F61"/>
    <w:rsid w:val="005C29C6"/>
    <w:rsid w:val="005C2BB7"/>
    <w:rsid w:val="005C2E1B"/>
    <w:rsid w:val="005C3219"/>
    <w:rsid w:val="005C37B4"/>
    <w:rsid w:val="005C3D39"/>
    <w:rsid w:val="005C4011"/>
    <w:rsid w:val="005C416E"/>
    <w:rsid w:val="005C4AA1"/>
    <w:rsid w:val="005C54C8"/>
    <w:rsid w:val="005C59B5"/>
    <w:rsid w:val="005C5BAC"/>
    <w:rsid w:val="005C5EC7"/>
    <w:rsid w:val="005C5F70"/>
    <w:rsid w:val="005C655D"/>
    <w:rsid w:val="005C689C"/>
    <w:rsid w:val="005C693E"/>
    <w:rsid w:val="005C696A"/>
    <w:rsid w:val="005C6A27"/>
    <w:rsid w:val="005C7347"/>
    <w:rsid w:val="005C7A62"/>
    <w:rsid w:val="005C7E10"/>
    <w:rsid w:val="005D01F6"/>
    <w:rsid w:val="005D0277"/>
    <w:rsid w:val="005D0D70"/>
    <w:rsid w:val="005D0E5D"/>
    <w:rsid w:val="005D0F37"/>
    <w:rsid w:val="005D120E"/>
    <w:rsid w:val="005D136A"/>
    <w:rsid w:val="005D1799"/>
    <w:rsid w:val="005D1BF3"/>
    <w:rsid w:val="005D2B42"/>
    <w:rsid w:val="005D2D82"/>
    <w:rsid w:val="005D347A"/>
    <w:rsid w:val="005D3DF2"/>
    <w:rsid w:val="005D40E7"/>
    <w:rsid w:val="005D4379"/>
    <w:rsid w:val="005D47CB"/>
    <w:rsid w:val="005D4981"/>
    <w:rsid w:val="005D4D7C"/>
    <w:rsid w:val="005D4E8A"/>
    <w:rsid w:val="005D5194"/>
    <w:rsid w:val="005D5238"/>
    <w:rsid w:val="005D5260"/>
    <w:rsid w:val="005D5B30"/>
    <w:rsid w:val="005D6DBE"/>
    <w:rsid w:val="005D7000"/>
    <w:rsid w:val="005D7924"/>
    <w:rsid w:val="005E06CC"/>
    <w:rsid w:val="005E0820"/>
    <w:rsid w:val="005E1275"/>
    <w:rsid w:val="005E1682"/>
    <w:rsid w:val="005E1F33"/>
    <w:rsid w:val="005E2039"/>
    <w:rsid w:val="005E2254"/>
    <w:rsid w:val="005E2B51"/>
    <w:rsid w:val="005E2D11"/>
    <w:rsid w:val="005E3539"/>
    <w:rsid w:val="005E370A"/>
    <w:rsid w:val="005E3BF7"/>
    <w:rsid w:val="005E4A87"/>
    <w:rsid w:val="005E4AB2"/>
    <w:rsid w:val="005E4AE7"/>
    <w:rsid w:val="005E4C35"/>
    <w:rsid w:val="005E4DA1"/>
    <w:rsid w:val="005E51BA"/>
    <w:rsid w:val="005E5638"/>
    <w:rsid w:val="005E5674"/>
    <w:rsid w:val="005E61AA"/>
    <w:rsid w:val="005E7406"/>
    <w:rsid w:val="005E7DA7"/>
    <w:rsid w:val="005E7EF9"/>
    <w:rsid w:val="005F0D1B"/>
    <w:rsid w:val="005F1724"/>
    <w:rsid w:val="005F1CC1"/>
    <w:rsid w:val="005F2511"/>
    <w:rsid w:val="005F25A1"/>
    <w:rsid w:val="005F260D"/>
    <w:rsid w:val="005F2C49"/>
    <w:rsid w:val="005F2C58"/>
    <w:rsid w:val="005F2DE1"/>
    <w:rsid w:val="005F3201"/>
    <w:rsid w:val="005F3D5F"/>
    <w:rsid w:val="005F44B3"/>
    <w:rsid w:val="005F4730"/>
    <w:rsid w:val="005F4801"/>
    <w:rsid w:val="005F48FD"/>
    <w:rsid w:val="005F4B03"/>
    <w:rsid w:val="005F4F32"/>
    <w:rsid w:val="005F4FF7"/>
    <w:rsid w:val="005F50CE"/>
    <w:rsid w:val="005F565D"/>
    <w:rsid w:val="005F5D52"/>
    <w:rsid w:val="005F71C9"/>
    <w:rsid w:val="005F762D"/>
    <w:rsid w:val="005F784C"/>
    <w:rsid w:val="005F7E95"/>
    <w:rsid w:val="006002FE"/>
    <w:rsid w:val="00600F73"/>
    <w:rsid w:val="006011DA"/>
    <w:rsid w:val="00601331"/>
    <w:rsid w:val="0060261A"/>
    <w:rsid w:val="006028E4"/>
    <w:rsid w:val="0060300E"/>
    <w:rsid w:val="00603715"/>
    <w:rsid w:val="00603AF2"/>
    <w:rsid w:val="0060407A"/>
    <w:rsid w:val="006045C8"/>
    <w:rsid w:val="00604853"/>
    <w:rsid w:val="00604871"/>
    <w:rsid w:val="00604E72"/>
    <w:rsid w:val="00604F94"/>
    <w:rsid w:val="006054F7"/>
    <w:rsid w:val="0060562F"/>
    <w:rsid w:val="00605B39"/>
    <w:rsid w:val="00605C11"/>
    <w:rsid w:val="006061B2"/>
    <w:rsid w:val="00606525"/>
    <w:rsid w:val="0060664D"/>
    <w:rsid w:val="006075F1"/>
    <w:rsid w:val="00607BC5"/>
    <w:rsid w:val="00607D63"/>
    <w:rsid w:val="00607F88"/>
    <w:rsid w:val="006101D8"/>
    <w:rsid w:val="0061097D"/>
    <w:rsid w:val="00610D47"/>
    <w:rsid w:val="00611D7F"/>
    <w:rsid w:val="00611D90"/>
    <w:rsid w:val="00611FC0"/>
    <w:rsid w:val="00612BB1"/>
    <w:rsid w:val="00613000"/>
    <w:rsid w:val="00614026"/>
    <w:rsid w:val="00614171"/>
    <w:rsid w:val="006143BD"/>
    <w:rsid w:val="006144E2"/>
    <w:rsid w:val="00614A09"/>
    <w:rsid w:val="00614B3F"/>
    <w:rsid w:val="00614C91"/>
    <w:rsid w:val="00614E18"/>
    <w:rsid w:val="006157C3"/>
    <w:rsid w:val="00615D00"/>
    <w:rsid w:val="00616130"/>
    <w:rsid w:val="00616340"/>
    <w:rsid w:val="006164CB"/>
    <w:rsid w:val="00616505"/>
    <w:rsid w:val="0061684A"/>
    <w:rsid w:val="0061695D"/>
    <w:rsid w:val="00616B90"/>
    <w:rsid w:val="00616CD7"/>
    <w:rsid w:val="006170BF"/>
    <w:rsid w:val="00617188"/>
    <w:rsid w:val="0061771C"/>
    <w:rsid w:val="00617F6C"/>
    <w:rsid w:val="0062085F"/>
    <w:rsid w:val="00620AF9"/>
    <w:rsid w:val="00620BA1"/>
    <w:rsid w:val="00621765"/>
    <w:rsid w:val="00621FC4"/>
    <w:rsid w:val="00622250"/>
    <w:rsid w:val="006224E4"/>
    <w:rsid w:val="00622645"/>
    <w:rsid w:val="00622DFC"/>
    <w:rsid w:val="00623018"/>
    <w:rsid w:val="0062377D"/>
    <w:rsid w:val="00623938"/>
    <w:rsid w:val="0062486A"/>
    <w:rsid w:val="00624A80"/>
    <w:rsid w:val="00624B94"/>
    <w:rsid w:val="00624F78"/>
    <w:rsid w:val="006251CD"/>
    <w:rsid w:val="00625ED1"/>
    <w:rsid w:val="00625F5C"/>
    <w:rsid w:val="006261D3"/>
    <w:rsid w:val="00626CC8"/>
    <w:rsid w:val="00626DE3"/>
    <w:rsid w:val="0062700F"/>
    <w:rsid w:val="00627041"/>
    <w:rsid w:val="006271CA"/>
    <w:rsid w:val="006276C9"/>
    <w:rsid w:val="0062789D"/>
    <w:rsid w:val="00627A48"/>
    <w:rsid w:val="00630404"/>
    <w:rsid w:val="00630672"/>
    <w:rsid w:val="00630676"/>
    <w:rsid w:val="00630CB1"/>
    <w:rsid w:val="00630E94"/>
    <w:rsid w:val="00631559"/>
    <w:rsid w:val="00631713"/>
    <w:rsid w:val="00631F5C"/>
    <w:rsid w:val="00632E62"/>
    <w:rsid w:val="00632EB7"/>
    <w:rsid w:val="0063338D"/>
    <w:rsid w:val="006338FC"/>
    <w:rsid w:val="0063397B"/>
    <w:rsid w:val="00633C5D"/>
    <w:rsid w:val="006347A6"/>
    <w:rsid w:val="00634FB2"/>
    <w:rsid w:val="006355EA"/>
    <w:rsid w:val="00635A1E"/>
    <w:rsid w:val="00635B82"/>
    <w:rsid w:val="0063623E"/>
    <w:rsid w:val="00636FE5"/>
    <w:rsid w:val="0063703E"/>
    <w:rsid w:val="00637E69"/>
    <w:rsid w:val="006404DA"/>
    <w:rsid w:val="00641053"/>
    <w:rsid w:val="00641C1A"/>
    <w:rsid w:val="00642529"/>
    <w:rsid w:val="00642566"/>
    <w:rsid w:val="00642808"/>
    <w:rsid w:val="0064287D"/>
    <w:rsid w:val="00642890"/>
    <w:rsid w:val="00643B59"/>
    <w:rsid w:val="00643C51"/>
    <w:rsid w:val="0064402E"/>
    <w:rsid w:val="006440D8"/>
    <w:rsid w:val="00644858"/>
    <w:rsid w:val="006448F2"/>
    <w:rsid w:val="00644982"/>
    <w:rsid w:val="00644F00"/>
    <w:rsid w:val="00645C1E"/>
    <w:rsid w:val="006461FB"/>
    <w:rsid w:val="0064651D"/>
    <w:rsid w:val="00646F74"/>
    <w:rsid w:val="006471BC"/>
    <w:rsid w:val="00647451"/>
    <w:rsid w:val="006476A7"/>
    <w:rsid w:val="006477B1"/>
    <w:rsid w:val="006479D0"/>
    <w:rsid w:val="00647AEB"/>
    <w:rsid w:val="00647C6E"/>
    <w:rsid w:val="00647FA3"/>
    <w:rsid w:val="006508E4"/>
    <w:rsid w:val="00651324"/>
    <w:rsid w:val="00651F05"/>
    <w:rsid w:val="00651FDE"/>
    <w:rsid w:val="00652095"/>
    <w:rsid w:val="006522E6"/>
    <w:rsid w:val="00652390"/>
    <w:rsid w:val="006528C1"/>
    <w:rsid w:val="0065381E"/>
    <w:rsid w:val="00653A94"/>
    <w:rsid w:val="006541A3"/>
    <w:rsid w:val="006542DA"/>
    <w:rsid w:val="006547AA"/>
    <w:rsid w:val="006547E8"/>
    <w:rsid w:val="0065485C"/>
    <w:rsid w:val="00654AAA"/>
    <w:rsid w:val="006550E8"/>
    <w:rsid w:val="0065526B"/>
    <w:rsid w:val="00655804"/>
    <w:rsid w:val="00655C25"/>
    <w:rsid w:val="00655D4D"/>
    <w:rsid w:val="00656813"/>
    <w:rsid w:val="00656931"/>
    <w:rsid w:val="006572CF"/>
    <w:rsid w:val="0065741E"/>
    <w:rsid w:val="00657E79"/>
    <w:rsid w:val="00661662"/>
    <w:rsid w:val="0066226C"/>
    <w:rsid w:val="0066254B"/>
    <w:rsid w:val="00662E04"/>
    <w:rsid w:val="00663006"/>
    <w:rsid w:val="00663073"/>
    <w:rsid w:val="006631AC"/>
    <w:rsid w:val="006631AD"/>
    <w:rsid w:val="0066329D"/>
    <w:rsid w:val="006632DC"/>
    <w:rsid w:val="00663560"/>
    <w:rsid w:val="00663C5F"/>
    <w:rsid w:val="0066425F"/>
    <w:rsid w:val="00664C46"/>
    <w:rsid w:val="00665125"/>
    <w:rsid w:val="006654B6"/>
    <w:rsid w:val="00665BA0"/>
    <w:rsid w:val="00667056"/>
    <w:rsid w:val="006707A5"/>
    <w:rsid w:val="0067103B"/>
    <w:rsid w:val="006711D5"/>
    <w:rsid w:val="00672023"/>
    <w:rsid w:val="006725AA"/>
    <w:rsid w:val="006725BE"/>
    <w:rsid w:val="00672892"/>
    <w:rsid w:val="00672C7B"/>
    <w:rsid w:val="00672DB6"/>
    <w:rsid w:val="00673801"/>
    <w:rsid w:val="00673ABC"/>
    <w:rsid w:val="0067402B"/>
    <w:rsid w:val="0067431C"/>
    <w:rsid w:val="0067483C"/>
    <w:rsid w:val="006748DD"/>
    <w:rsid w:val="00674F72"/>
    <w:rsid w:val="00674FE0"/>
    <w:rsid w:val="00675948"/>
    <w:rsid w:val="00675E9E"/>
    <w:rsid w:val="00676D53"/>
    <w:rsid w:val="00677A24"/>
    <w:rsid w:val="00677A7F"/>
    <w:rsid w:val="00677D19"/>
    <w:rsid w:val="006803E7"/>
    <w:rsid w:val="0068050C"/>
    <w:rsid w:val="006806A6"/>
    <w:rsid w:val="00680FF2"/>
    <w:rsid w:val="006814F9"/>
    <w:rsid w:val="0068159C"/>
    <w:rsid w:val="006821D1"/>
    <w:rsid w:val="00682634"/>
    <w:rsid w:val="00682AA8"/>
    <w:rsid w:val="00682D37"/>
    <w:rsid w:val="00682F7F"/>
    <w:rsid w:val="00682FB6"/>
    <w:rsid w:val="00683387"/>
    <w:rsid w:val="00684092"/>
    <w:rsid w:val="0068435E"/>
    <w:rsid w:val="00684742"/>
    <w:rsid w:val="006855EA"/>
    <w:rsid w:val="00685837"/>
    <w:rsid w:val="0068600F"/>
    <w:rsid w:val="00686900"/>
    <w:rsid w:val="00686C71"/>
    <w:rsid w:val="00686E01"/>
    <w:rsid w:val="0068720E"/>
    <w:rsid w:val="006874CE"/>
    <w:rsid w:val="00687A93"/>
    <w:rsid w:val="00687C70"/>
    <w:rsid w:val="00687D77"/>
    <w:rsid w:val="00687F51"/>
    <w:rsid w:val="00690153"/>
    <w:rsid w:val="006902FE"/>
    <w:rsid w:val="0069060E"/>
    <w:rsid w:val="00690757"/>
    <w:rsid w:val="00690DC6"/>
    <w:rsid w:val="0069158F"/>
    <w:rsid w:val="00691BFB"/>
    <w:rsid w:val="00692C39"/>
    <w:rsid w:val="00692D62"/>
    <w:rsid w:val="00692E69"/>
    <w:rsid w:val="0069358D"/>
    <w:rsid w:val="00693D84"/>
    <w:rsid w:val="00693E09"/>
    <w:rsid w:val="00693F78"/>
    <w:rsid w:val="00694232"/>
    <w:rsid w:val="006945ED"/>
    <w:rsid w:val="006945F3"/>
    <w:rsid w:val="006946F2"/>
    <w:rsid w:val="0069474F"/>
    <w:rsid w:val="0069475B"/>
    <w:rsid w:val="00694807"/>
    <w:rsid w:val="00694845"/>
    <w:rsid w:val="00694B3B"/>
    <w:rsid w:val="00695CB0"/>
    <w:rsid w:val="00695ECC"/>
    <w:rsid w:val="0069677C"/>
    <w:rsid w:val="0069680D"/>
    <w:rsid w:val="00696B1C"/>
    <w:rsid w:val="00696EC2"/>
    <w:rsid w:val="00697025"/>
    <w:rsid w:val="0069753D"/>
    <w:rsid w:val="006977D9"/>
    <w:rsid w:val="00697EAB"/>
    <w:rsid w:val="006A013C"/>
    <w:rsid w:val="006A0242"/>
    <w:rsid w:val="006A046B"/>
    <w:rsid w:val="006A0613"/>
    <w:rsid w:val="006A0D35"/>
    <w:rsid w:val="006A0FC9"/>
    <w:rsid w:val="006A154E"/>
    <w:rsid w:val="006A167D"/>
    <w:rsid w:val="006A1953"/>
    <w:rsid w:val="006A196F"/>
    <w:rsid w:val="006A1A65"/>
    <w:rsid w:val="006A1B26"/>
    <w:rsid w:val="006A273D"/>
    <w:rsid w:val="006A2826"/>
    <w:rsid w:val="006A2ACA"/>
    <w:rsid w:val="006A2DDC"/>
    <w:rsid w:val="006A2E01"/>
    <w:rsid w:val="006A3172"/>
    <w:rsid w:val="006A3353"/>
    <w:rsid w:val="006A38BE"/>
    <w:rsid w:val="006A4168"/>
    <w:rsid w:val="006A41E2"/>
    <w:rsid w:val="006A42CC"/>
    <w:rsid w:val="006A487C"/>
    <w:rsid w:val="006A4B04"/>
    <w:rsid w:val="006A4B14"/>
    <w:rsid w:val="006A4D0D"/>
    <w:rsid w:val="006A514D"/>
    <w:rsid w:val="006A56E5"/>
    <w:rsid w:val="006A590C"/>
    <w:rsid w:val="006A5952"/>
    <w:rsid w:val="006A6571"/>
    <w:rsid w:val="006A6969"/>
    <w:rsid w:val="006A6CE2"/>
    <w:rsid w:val="006A6E4C"/>
    <w:rsid w:val="006A72D1"/>
    <w:rsid w:val="006A7654"/>
    <w:rsid w:val="006A76DF"/>
    <w:rsid w:val="006A771A"/>
    <w:rsid w:val="006A7E5D"/>
    <w:rsid w:val="006B026C"/>
    <w:rsid w:val="006B0342"/>
    <w:rsid w:val="006B0BB7"/>
    <w:rsid w:val="006B1119"/>
    <w:rsid w:val="006B1120"/>
    <w:rsid w:val="006B11F4"/>
    <w:rsid w:val="006B1718"/>
    <w:rsid w:val="006B1942"/>
    <w:rsid w:val="006B2438"/>
    <w:rsid w:val="006B29A5"/>
    <w:rsid w:val="006B2C30"/>
    <w:rsid w:val="006B361E"/>
    <w:rsid w:val="006B3ED1"/>
    <w:rsid w:val="006B3FA9"/>
    <w:rsid w:val="006B3FD3"/>
    <w:rsid w:val="006B414B"/>
    <w:rsid w:val="006B45F0"/>
    <w:rsid w:val="006B494B"/>
    <w:rsid w:val="006B4D6E"/>
    <w:rsid w:val="006B4EB3"/>
    <w:rsid w:val="006B583F"/>
    <w:rsid w:val="006B5F01"/>
    <w:rsid w:val="006B627D"/>
    <w:rsid w:val="006B6398"/>
    <w:rsid w:val="006B6474"/>
    <w:rsid w:val="006B69D8"/>
    <w:rsid w:val="006B6C23"/>
    <w:rsid w:val="006B6EF0"/>
    <w:rsid w:val="006B700B"/>
    <w:rsid w:val="006B71D5"/>
    <w:rsid w:val="006B7A1F"/>
    <w:rsid w:val="006B7BD5"/>
    <w:rsid w:val="006B7EC7"/>
    <w:rsid w:val="006C027A"/>
    <w:rsid w:val="006C1526"/>
    <w:rsid w:val="006C1B41"/>
    <w:rsid w:val="006C1E9F"/>
    <w:rsid w:val="006C2662"/>
    <w:rsid w:val="006C278B"/>
    <w:rsid w:val="006C2E28"/>
    <w:rsid w:val="006C3170"/>
    <w:rsid w:val="006C32CC"/>
    <w:rsid w:val="006C36CD"/>
    <w:rsid w:val="006C38A3"/>
    <w:rsid w:val="006C3EE1"/>
    <w:rsid w:val="006C458B"/>
    <w:rsid w:val="006C4BAE"/>
    <w:rsid w:val="006C5117"/>
    <w:rsid w:val="006C5F3E"/>
    <w:rsid w:val="006C6043"/>
    <w:rsid w:val="006C61C8"/>
    <w:rsid w:val="006C637B"/>
    <w:rsid w:val="006C6901"/>
    <w:rsid w:val="006C6AB5"/>
    <w:rsid w:val="006C6BC0"/>
    <w:rsid w:val="006C77C0"/>
    <w:rsid w:val="006D000B"/>
    <w:rsid w:val="006D0802"/>
    <w:rsid w:val="006D0A98"/>
    <w:rsid w:val="006D0B5D"/>
    <w:rsid w:val="006D0E6B"/>
    <w:rsid w:val="006D11F2"/>
    <w:rsid w:val="006D1526"/>
    <w:rsid w:val="006D1831"/>
    <w:rsid w:val="006D1A45"/>
    <w:rsid w:val="006D2839"/>
    <w:rsid w:val="006D2DEB"/>
    <w:rsid w:val="006D2E11"/>
    <w:rsid w:val="006D39C5"/>
    <w:rsid w:val="006D41A1"/>
    <w:rsid w:val="006D47C6"/>
    <w:rsid w:val="006D5577"/>
    <w:rsid w:val="006D639A"/>
    <w:rsid w:val="006D640B"/>
    <w:rsid w:val="006D666C"/>
    <w:rsid w:val="006D6854"/>
    <w:rsid w:val="006D6DFC"/>
    <w:rsid w:val="006D6F57"/>
    <w:rsid w:val="006D703E"/>
    <w:rsid w:val="006D7726"/>
    <w:rsid w:val="006D7EC5"/>
    <w:rsid w:val="006E02D6"/>
    <w:rsid w:val="006E06FF"/>
    <w:rsid w:val="006E0E35"/>
    <w:rsid w:val="006E1407"/>
    <w:rsid w:val="006E1631"/>
    <w:rsid w:val="006E1783"/>
    <w:rsid w:val="006E1C51"/>
    <w:rsid w:val="006E1E8F"/>
    <w:rsid w:val="006E203C"/>
    <w:rsid w:val="006E23C3"/>
    <w:rsid w:val="006E2A91"/>
    <w:rsid w:val="006E2D11"/>
    <w:rsid w:val="006E2E92"/>
    <w:rsid w:val="006E310C"/>
    <w:rsid w:val="006E312A"/>
    <w:rsid w:val="006E3232"/>
    <w:rsid w:val="006E3975"/>
    <w:rsid w:val="006E3E5B"/>
    <w:rsid w:val="006E430D"/>
    <w:rsid w:val="006E5802"/>
    <w:rsid w:val="006E66B1"/>
    <w:rsid w:val="006F0539"/>
    <w:rsid w:val="006F060F"/>
    <w:rsid w:val="006F0A2C"/>
    <w:rsid w:val="006F1250"/>
    <w:rsid w:val="006F1617"/>
    <w:rsid w:val="006F237D"/>
    <w:rsid w:val="006F23D4"/>
    <w:rsid w:val="006F3051"/>
    <w:rsid w:val="006F320B"/>
    <w:rsid w:val="006F3F7D"/>
    <w:rsid w:val="006F4872"/>
    <w:rsid w:val="006F4C39"/>
    <w:rsid w:val="006F50B7"/>
    <w:rsid w:val="006F5D1B"/>
    <w:rsid w:val="006F609E"/>
    <w:rsid w:val="006F61B2"/>
    <w:rsid w:val="006F643C"/>
    <w:rsid w:val="006F677C"/>
    <w:rsid w:val="006F6BF5"/>
    <w:rsid w:val="006F6C4B"/>
    <w:rsid w:val="006F7906"/>
    <w:rsid w:val="006F797B"/>
    <w:rsid w:val="006F79E3"/>
    <w:rsid w:val="006F7AA9"/>
    <w:rsid w:val="0070015B"/>
    <w:rsid w:val="007002A3"/>
    <w:rsid w:val="00701172"/>
    <w:rsid w:val="0070136C"/>
    <w:rsid w:val="00701FCB"/>
    <w:rsid w:val="00702794"/>
    <w:rsid w:val="00702842"/>
    <w:rsid w:val="00702F7D"/>
    <w:rsid w:val="00703CCF"/>
    <w:rsid w:val="00704313"/>
    <w:rsid w:val="007043DA"/>
    <w:rsid w:val="007049B3"/>
    <w:rsid w:val="00704E61"/>
    <w:rsid w:val="0070531F"/>
    <w:rsid w:val="007056BB"/>
    <w:rsid w:val="00705775"/>
    <w:rsid w:val="00705D0A"/>
    <w:rsid w:val="00705DFE"/>
    <w:rsid w:val="00705F73"/>
    <w:rsid w:val="00706D35"/>
    <w:rsid w:val="00706D79"/>
    <w:rsid w:val="00706F27"/>
    <w:rsid w:val="00707359"/>
    <w:rsid w:val="00707446"/>
    <w:rsid w:val="0070744A"/>
    <w:rsid w:val="00707794"/>
    <w:rsid w:val="00707887"/>
    <w:rsid w:val="00707FCC"/>
    <w:rsid w:val="00710A9E"/>
    <w:rsid w:val="007110DD"/>
    <w:rsid w:val="0071115D"/>
    <w:rsid w:val="00711241"/>
    <w:rsid w:val="0071162E"/>
    <w:rsid w:val="007116A5"/>
    <w:rsid w:val="007116F6"/>
    <w:rsid w:val="007117CE"/>
    <w:rsid w:val="0071189B"/>
    <w:rsid w:val="0071198B"/>
    <w:rsid w:val="007124EA"/>
    <w:rsid w:val="00712C47"/>
    <w:rsid w:val="00712ED8"/>
    <w:rsid w:val="00713274"/>
    <w:rsid w:val="0071396D"/>
    <w:rsid w:val="00714044"/>
    <w:rsid w:val="00714752"/>
    <w:rsid w:val="00715468"/>
    <w:rsid w:val="00715931"/>
    <w:rsid w:val="00716790"/>
    <w:rsid w:val="00716943"/>
    <w:rsid w:val="00716B7A"/>
    <w:rsid w:val="00716BE7"/>
    <w:rsid w:val="00717468"/>
    <w:rsid w:val="007174A0"/>
    <w:rsid w:val="0071778A"/>
    <w:rsid w:val="00717CFA"/>
    <w:rsid w:val="0072169C"/>
    <w:rsid w:val="007216C8"/>
    <w:rsid w:val="00721792"/>
    <w:rsid w:val="007238A1"/>
    <w:rsid w:val="00723D5E"/>
    <w:rsid w:val="00724002"/>
    <w:rsid w:val="007242B1"/>
    <w:rsid w:val="007245B4"/>
    <w:rsid w:val="00724872"/>
    <w:rsid w:val="00725088"/>
    <w:rsid w:val="0072544A"/>
    <w:rsid w:val="007254CA"/>
    <w:rsid w:val="0072587F"/>
    <w:rsid w:val="00725F21"/>
    <w:rsid w:val="00726BD9"/>
    <w:rsid w:val="00727022"/>
    <w:rsid w:val="007302E2"/>
    <w:rsid w:val="0073048D"/>
    <w:rsid w:val="0073143B"/>
    <w:rsid w:val="007319A2"/>
    <w:rsid w:val="00731D2C"/>
    <w:rsid w:val="00731DD7"/>
    <w:rsid w:val="0073252F"/>
    <w:rsid w:val="007325A4"/>
    <w:rsid w:val="00732ADF"/>
    <w:rsid w:val="007335F2"/>
    <w:rsid w:val="007336D6"/>
    <w:rsid w:val="00733A85"/>
    <w:rsid w:val="00733ECE"/>
    <w:rsid w:val="00734A23"/>
    <w:rsid w:val="00734EFF"/>
    <w:rsid w:val="00735993"/>
    <w:rsid w:val="00735A0B"/>
    <w:rsid w:val="00735B7F"/>
    <w:rsid w:val="0073688A"/>
    <w:rsid w:val="00736D60"/>
    <w:rsid w:val="00737CBE"/>
    <w:rsid w:val="00737CE9"/>
    <w:rsid w:val="00737F41"/>
    <w:rsid w:val="00740BE9"/>
    <w:rsid w:val="00740C73"/>
    <w:rsid w:val="00740D51"/>
    <w:rsid w:val="0074112F"/>
    <w:rsid w:val="00741A38"/>
    <w:rsid w:val="00741D79"/>
    <w:rsid w:val="00742268"/>
    <w:rsid w:val="007424BE"/>
    <w:rsid w:val="00742E88"/>
    <w:rsid w:val="0074329D"/>
    <w:rsid w:val="007438C0"/>
    <w:rsid w:val="00743941"/>
    <w:rsid w:val="00743B57"/>
    <w:rsid w:val="00743D3F"/>
    <w:rsid w:val="007442E2"/>
    <w:rsid w:val="007443A2"/>
    <w:rsid w:val="0074498A"/>
    <w:rsid w:val="00744BC0"/>
    <w:rsid w:val="007455FE"/>
    <w:rsid w:val="00745A7F"/>
    <w:rsid w:val="00745AC4"/>
    <w:rsid w:val="007462D6"/>
    <w:rsid w:val="00746A9E"/>
    <w:rsid w:val="00746B3D"/>
    <w:rsid w:val="007477D4"/>
    <w:rsid w:val="0074782D"/>
    <w:rsid w:val="00750200"/>
    <w:rsid w:val="007506E5"/>
    <w:rsid w:val="00750C13"/>
    <w:rsid w:val="007512A8"/>
    <w:rsid w:val="00751B93"/>
    <w:rsid w:val="00751BEF"/>
    <w:rsid w:val="00751C7C"/>
    <w:rsid w:val="00751F8F"/>
    <w:rsid w:val="00752065"/>
    <w:rsid w:val="0075224C"/>
    <w:rsid w:val="007524E3"/>
    <w:rsid w:val="00753218"/>
    <w:rsid w:val="00753689"/>
    <w:rsid w:val="0075368C"/>
    <w:rsid w:val="00753884"/>
    <w:rsid w:val="00753D7D"/>
    <w:rsid w:val="0075406B"/>
    <w:rsid w:val="00754E94"/>
    <w:rsid w:val="007557FA"/>
    <w:rsid w:val="007559DF"/>
    <w:rsid w:val="007560D1"/>
    <w:rsid w:val="007568BF"/>
    <w:rsid w:val="00756E63"/>
    <w:rsid w:val="0075727F"/>
    <w:rsid w:val="007572A4"/>
    <w:rsid w:val="007572B2"/>
    <w:rsid w:val="007606A7"/>
    <w:rsid w:val="00760B67"/>
    <w:rsid w:val="00760E99"/>
    <w:rsid w:val="007614E8"/>
    <w:rsid w:val="0076181E"/>
    <w:rsid w:val="007619CB"/>
    <w:rsid w:val="00761AC9"/>
    <w:rsid w:val="00762541"/>
    <w:rsid w:val="00762706"/>
    <w:rsid w:val="00762C81"/>
    <w:rsid w:val="007636B7"/>
    <w:rsid w:val="0076454D"/>
    <w:rsid w:val="00765F4B"/>
    <w:rsid w:val="0076636E"/>
    <w:rsid w:val="00766FE5"/>
    <w:rsid w:val="0076760D"/>
    <w:rsid w:val="00767931"/>
    <w:rsid w:val="00767B2C"/>
    <w:rsid w:val="00770175"/>
    <w:rsid w:val="007702EB"/>
    <w:rsid w:val="0077043F"/>
    <w:rsid w:val="00770A6D"/>
    <w:rsid w:val="00770CAA"/>
    <w:rsid w:val="00770DF9"/>
    <w:rsid w:val="007719F3"/>
    <w:rsid w:val="00772867"/>
    <w:rsid w:val="007730E7"/>
    <w:rsid w:val="007732B5"/>
    <w:rsid w:val="00773F44"/>
    <w:rsid w:val="00773F84"/>
    <w:rsid w:val="007740BB"/>
    <w:rsid w:val="00775A2F"/>
    <w:rsid w:val="00775BA6"/>
    <w:rsid w:val="00775D3C"/>
    <w:rsid w:val="00775E0B"/>
    <w:rsid w:val="00776599"/>
    <w:rsid w:val="00777143"/>
    <w:rsid w:val="0077719D"/>
    <w:rsid w:val="0077784B"/>
    <w:rsid w:val="00777C16"/>
    <w:rsid w:val="00777DF5"/>
    <w:rsid w:val="00777F75"/>
    <w:rsid w:val="00777FE3"/>
    <w:rsid w:val="007802C8"/>
    <w:rsid w:val="00780931"/>
    <w:rsid w:val="00780A07"/>
    <w:rsid w:val="007813B3"/>
    <w:rsid w:val="00781D43"/>
    <w:rsid w:val="00781EA6"/>
    <w:rsid w:val="0078232C"/>
    <w:rsid w:val="0078255D"/>
    <w:rsid w:val="00782706"/>
    <w:rsid w:val="00782ACA"/>
    <w:rsid w:val="00782AEB"/>
    <w:rsid w:val="0078336B"/>
    <w:rsid w:val="00784658"/>
    <w:rsid w:val="007849B5"/>
    <w:rsid w:val="00784DE7"/>
    <w:rsid w:val="00785049"/>
    <w:rsid w:val="007856D6"/>
    <w:rsid w:val="00785994"/>
    <w:rsid w:val="00785EF8"/>
    <w:rsid w:val="0078636B"/>
    <w:rsid w:val="007868F9"/>
    <w:rsid w:val="007869D0"/>
    <w:rsid w:val="00787973"/>
    <w:rsid w:val="00787C7E"/>
    <w:rsid w:val="00787FAD"/>
    <w:rsid w:val="00790315"/>
    <w:rsid w:val="007913FA"/>
    <w:rsid w:val="00791450"/>
    <w:rsid w:val="00791464"/>
    <w:rsid w:val="007920DC"/>
    <w:rsid w:val="007927B8"/>
    <w:rsid w:val="00792DE2"/>
    <w:rsid w:val="00793287"/>
    <w:rsid w:val="00794542"/>
    <w:rsid w:val="00794FC7"/>
    <w:rsid w:val="0079534D"/>
    <w:rsid w:val="00795731"/>
    <w:rsid w:val="00795BD5"/>
    <w:rsid w:val="00795D17"/>
    <w:rsid w:val="007961F4"/>
    <w:rsid w:val="007962D7"/>
    <w:rsid w:val="00796320"/>
    <w:rsid w:val="0079686B"/>
    <w:rsid w:val="00796D93"/>
    <w:rsid w:val="00796DAD"/>
    <w:rsid w:val="00797169"/>
    <w:rsid w:val="00797361"/>
    <w:rsid w:val="0079776E"/>
    <w:rsid w:val="00797EE3"/>
    <w:rsid w:val="00797EE7"/>
    <w:rsid w:val="007A0010"/>
    <w:rsid w:val="007A0578"/>
    <w:rsid w:val="007A07EA"/>
    <w:rsid w:val="007A0E72"/>
    <w:rsid w:val="007A11BB"/>
    <w:rsid w:val="007A1B3D"/>
    <w:rsid w:val="007A1E2E"/>
    <w:rsid w:val="007A30F9"/>
    <w:rsid w:val="007A3241"/>
    <w:rsid w:val="007A33C4"/>
    <w:rsid w:val="007A3540"/>
    <w:rsid w:val="007A354C"/>
    <w:rsid w:val="007A3E1C"/>
    <w:rsid w:val="007A4336"/>
    <w:rsid w:val="007A4AD2"/>
    <w:rsid w:val="007A5A40"/>
    <w:rsid w:val="007A5E35"/>
    <w:rsid w:val="007A6C5C"/>
    <w:rsid w:val="007A6ECF"/>
    <w:rsid w:val="007A70E6"/>
    <w:rsid w:val="007A784D"/>
    <w:rsid w:val="007A7D7C"/>
    <w:rsid w:val="007B02C2"/>
    <w:rsid w:val="007B0360"/>
    <w:rsid w:val="007B03DE"/>
    <w:rsid w:val="007B0786"/>
    <w:rsid w:val="007B0ADC"/>
    <w:rsid w:val="007B1536"/>
    <w:rsid w:val="007B16D0"/>
    <w:rsid w:val="007B1B79"/>
    <w:rsid w:val="007B1B90"/>
    <w:rsid w:val="007B1DA9"/>
    <w:rsid w:val="007B2430"/>
    <w:rsid w:val="007B2CC0"/>
    <w:rsid w:val="007B2ED4"/>
    <w:rsid w:val="007B2FA4"/>
    <w:rsid w:val="007B3FDA"/>
    <w:rsid w:val="007B4B7F"/>
    <w:rsid w:val="007B4DDF"/>
    <w:rsid w:val="007B5431"/>
    <w:rsid w:val="007B5691"/>
    <w:rsid w:val="007B56D4"/>
    <w:rsid w:val="007B5F31"/>
    <w:rsid w:val="007B656B"/>
    <w:rsid w:val="007B68B8"/>
    <w:rsid w:val="007B6EEB"/>
    <w:rsid w:val="007B716E"/>
    <w:rsid w:val="007C05A0"/>
    <w:rsid w:val="007C09A9"/>
    <w:rsid w:val="007C0C77"/>
    <w:rsid w:val="007C0CC8"/>
    <w:rsid w:val="007C0F85"/>
    <w:rsid w:val="007C171A"/>
    <w:rsid w:val="007C1E23"/>
    <w:rsid w:val="007C223C"/>
    <w:rsid w:val="007C2D41"/>
    <w:rsid w:val="007C32A9"/>
    <w:rsid w:val="007C377E"/>
    <w:rsid w:val="007C3E33"/>
    <w:rsid w:val="007C4440"/>
    <w:rsid w:val="007C4C21"/>
    <w:rsid w:val="007C5278"/>
    <w:rsid w:val="007C5565"/>
    <w:rsid w:val="007C5D20"/>
    <w:rsid w:val="007C69F6"/>
    <w:rsid w:val="007C7296"/>
    <w:rsid w:val="007C72C3"/>
    <w:rsid w:val="007C75C8"/>
    <w:rsid w:val="007C75EE"/>
    <w:rsid w:val="007D071A"/>
    <w:rsid w:val="007D0B29"/>
    <w:rsid w:val="007D1675"/>
    <w:rsid w:val="007D1760"/>
    <w:rsid w:val="007D1988"/>
    <w:rsid w:val="007D1DC8"/>
    <w:rsid w:val="007D1E80"/>
    <w:rsid w:val="007D1F6D"/>
    <w:rsid w:val="007D2684"/>
    <w:rsid w:val="007D2778"/>
    <w:rsid w:val="007D299A"/>
    <w:rsid w:val="007D2AF4"/>
    <w:rsid w:val="007D2C20"/>
    <w:rsid w:val="007D2F93"/>
    <w:rsid w:val="007D3085"/>
    <w:rsid w:val="007D343B"/>
    <w:rsid w:val="007D3FFC"/>
    <w:rsid w:val="007D4054"/>
    <w:rsid w:val="007D43FF"/>
    <w:rsid w:val="007D4CF3"/>
    <w:rsid w:val="007D526B"/>
    <w:rsid w:val="007D54FB"/>
    <w:rsid w:val="007D5657"/>
    <w:rsid w:val="007D58B9"/>
    <w:rsid w:val="007D5C62"/>
    <w:rsid w:val="007D61B1"/>
    <w:rsid w:val="007D62C1"/>
    <w:rsid w:val="007D6AC0"/>
    <w:rsid w:val="007D71AC"/>
    <w:rsid w:val="007D7D43"/>
    <w:rsid w:val="007D7E30"/>
    <w:rsid w:val="007E014A"/>
    <w:rsid w:val="007E053D"/>
    <w:rsid w:val="007E0BB9"/>
    <w:rsid w:val="007E0CC9"/>
    <w:rsid w:val="007E0F22"/>
    <w:rsid w:val="007E1313"/>
    <w:rsid w:val="007E1E5F"/>
    <w:rsid w:val="007E29E9"/>
    <w:rsid w:val="007E2ABB"/>
    <w:rsid w:val="007E3505"/>
    <w:rsid w:val="007E3EAB"/>
    <w:rsid w:val="007E3EB3"/>
    <w:rsid w:val="007E40DF"/>
    <w:rsid w:val="007E4F03"/>
    <w:rsid w:val="007E5152"/>
    <w:rsid w:val="007E5AEA"/>
    <w:rsid w:val="007E5C1F"/>
    <w:rsid w:val="007E5ED4"/>
    <w:rsid w:val="007E6911"/>
    <w:rsid w:val="007E69CC"/>
    <w:rsid w:val="007E716E"/>
    <w:rsid w:val="007E7ADE"/>
    <w:rsid w:val="007E7D40"/>
    <w:rsid w:val="007F015F"/>
    <w:rsid w:val="007F0A70"/>
    <w:rsid w:val="007F0D25"/>
    <w:rsid w:val="007F0D94"/>
    <w:rsid w:val="007F1378"/>
    <w:rsid w:val="007F1401"/>
    <w:rsid w:val="007F1679"/>
    <w:rsid w:val="007F17FF"/>
    <w:rsid w:val="007F19B4"/>
    <w:rsid w:val="007F250F"/>
    <w:rsid w:val="007F35BA"/>
    <w:rsid w:val="007F389A"/>
    <w:rsid w:val="007F38F5"/>
    <w:rsid w:val="007F3E57"/>
    <w:rsid w:val="007F3EFC"/>
    <w:rsid w:val="007F4123"/>
    <w:rsid w:val="007F6CD2"/>
    <w:rsid w:val="007F7112"/>
    <w:rsid w:val="007F767A"/>
    <w:rsid w:val="007F7907"/>
    <w:rsid w:val="007F7BB3"/>
    <w:rsid w:val="007F7FA6"/>
    <w:rsid w:val="00800180"/>
    <w:rsid w:val="0080021D"/>
    <w:rsid w:val="008004F7"/>
    <w:rsid w:val="00800658"/>
    <w:rsid w:val="00800833"/>
    <w:rsid w:val="00800B8D"/>
    <w:rsid w:val="00800BAB"/>
    <w:rsid w:val="00800C4E"/>
    <w:rsid w:val="00800DF1"/>
    <w:rsid w:val="0080100F"/>
    <w:rsid w:val="00801097"/>
    <w:rsid w:val="008013A4"/>
    <w:rsid w:val="008018AC"/>
    <w:rsid w:val="0080195E"/>
    <w:rsid w:val="00801DCE"/>
    <w:rsid w:val="0080233F"/>
    <w:rsid w:val="00802364"/>
    <w:rsid w:val="008033ED"/>
    <w:rsid w:val="00803D6A"/>
    <w:rsid w:val="0080400F"/>
    <w:rsid w:val="008048C2"/>
    <w:rsid w:val="00804A96"/>
    <w:rsid w:val="00804E49"/>
    <w:rsid w:val="00805023"/>
    <w:rsid w:val="008052FB"/>
    <w:rsid w:val="0080543C"/>
    <w:rsid w:val="0080585F"/>
    <w:rsid w:val="008059AF"/>
    <w:rsid w:val="00805ABF"/>
    <w:rsid w:val="00805C0E"/>
    <w:rsid w:val="008062C9"/>
    <w:rsid w:val="00806D5E"/>
    <w:rsid w:val="008073CA"/>
    <w:rsid w:val="008078D6"/>
    <w:rsid w:val="00810414"/>
    <w:rsid w:val="008108E4"/>
    <w:rsid w:val="00810EE8"/>
    <w:rsid w:val="0081119F"/>
    <w:rsid w:val="0081176E"/>
    <w:rsid w:val="008121A3"/>
    <w:rsid w:val="00812277"/>
    <w:rsid w:val="00812E43"/>
    <w:rsid w:val="00812F67"/>
    <w:rsid w:val="0081337D"/>
    <w:rsid w:val="00813483"/>
    <w:rsid w:val="00813644"/>
    <w:rsid w:val="0081366D"/>
    <w:rsid w:val="008137BD"/>
    <w:rsid w:val="00814302"/>
    <w:rsid w:val="008149B1"/>
    <w:rsid w:val="00814C4A"/>
    <w:rsid w:val="008152D0"/>
    <w:rsid w:val="008156F8"/>
    <w:rsid w:val="00815C47"/>
    <w:rsid w:val="00816248"/>
    <w:rsid w:val="008168D5"/>
    <w:rsid w:val="00816C8A"/>
    <w:rsid w:val="00816E31"/>
    <w:rsid w:val="008171C4"/>
    <w:rsid w:val="008174B8"/>
    <w:rsid w:val="0081771D"/>
    <w:rsid w:val="00817C72"/>
    <w:rsid w:val="00817DE9"/>
    <w:rsid w:val="008205E0"/>
    <w:rsid w:val="008208E4"/>
    <w:rsid w:val="00820AB2"/>
    <w:rsid w:val="008210CD"/>
    <w:rsid w:val="0082110A"/>
    <w:rsid w:val="0082124F"/>
    <w:rsid w:val="008212C7"/>
    <w:rsid w:val="00821494"/>
    <w:rsid w:val="00821D8A"/>
    <w:rsid w:val="00821E57"/>
    <w:rsid w:val="008223A4"/>
    <w:rsid w:val="008227F7"/>
    <w:rsid w:val="008238D6"/>
    <w:rsid w:val="00823A8E"/>
    <w:rsid w:val="00823E24"/>
    <w:rsid w:val="00824DB3"/>
    <w:rsid w:val="00825B13"/>
    <w:rsid w:val="00825F84"/>
    <w:rsid w:val="00826452"/>
    <w:rsid w:val="008274BA"/>
    <w:rsid w:val="00827BDA"/>
    <w:rsid w:val="00827DD7"/>
    <w:rsid w:val="00827E77"/>
    <w:rsid w:val="008305EF"/>
    <w:rsid w:val="00830C4E"/>
    <w:rsid w:val="00831EBE"/>
    <w:rsid w:val="008322BC"/>
    <w:rsid w:val="00832746"/>
    <w:rsid w:val="008328C4"/>
    <w:rsid w:val="00832F04"/>
    <w:rsid w:val="00833DBC"/>
    <w:rsid w:val="00834623"/>
    <w:rsid w:val="00834D7A"/>
    <w:rsid w:val="00834E5B"/>
    <w:rsid w:val="00834E70"/>
    <w:rsid w:val="0083571C"/>
    <w:rsid w:val="00835F6D"/>
    <w:rsid w:val="008361D0"/>
    <w:rsid w:val="008366F2"/>
    <w:rsid w:val="00836702"/>
    <w:rsid w:val="00836A3E"/>
    <w:rsid w:val="00837970"/>
    <w:rsid w:val="00837A02"/>
    <w:rsid w:val="00840164"/>
    <w:rsid w:val="0084080B"/>
    <w:rsid w:val="00840819"/>
    <w:rsid w:val="00840AE7"/>
    <w:rsid w:val="00840B6A"/>
    <w:rsid w:val="008410BA"/>
    <w:rsid w:val="00841147"/>
    <w:rsid w:val="0084138E"/>
    <w:rsid w:val="0084138F"/>
    <w:rsid w:val="00841EC5"/>
    <w:rsid w:val="00842058"/>
    <w:rsid w:val="00843201"/>
    <w:rsid w:val="008435BD"/>
    <w:rsid w:val="00843E47"/>
    <w:rsid w:val="00844E88"/>
    <w:rsid w:val="00844EED"/>
    <w:rsid w:val="00845002"/>
    <w:rsid w:val="008450DA"/>
    <w:rsid w:val="008454B1"/>
    <w:rsid w:val="00845772"/>
    <w:rsid w:val="008457AC"/>
    <w:rsid w:val="00846533"/>
    <w:rsid w:val="00846EBF"/>
    <w:rsid w:val="00846F0B"/>
    <w:rsid w:val="0084751E"/>
    <w:rsid w:val="00847C7A"/>
    <w:rsid w:val="00847D25"/>
    <w:rsid w:val="00847F84"/>
    <w:rsid w:val="0085001D"/>
    <w:rsid w:val="0085016F"/>
    <w:rsid w:val="00850386"/>
    <w:rsid w:val="00850D2B"/>
    <w:rsid w:val="00850F89"/>
    <w:rsid w:val="00851A12"/>
    <w:rsid w:val="00852016"/>
    <w:rsid w:val="0085204E"/>
    <w:rsid w:val="00852069"/>
    <w:rsid w:val="008525E3"/>
    <w:rsid w:val="0085293A"/>
    <w:rsid w:val="00853859"/>
    <w:rsid w:val="0085385E"/>
    <w:rsid w:val="008538E6"/>
    <w:rsid w:val="00853B34"/>
    <w:rsid w:val="00853F89"/>
    <w:rsid w:val="00853F93"/>
    <w:rsid w:val="00854008"/>
    <w:rsid w:val="00854562"/>
    <w:rsid w:val="00854765"/>
    <w:rsid w:val="008550C5"/>
    <w:rsid w:val="00855477"/>
    <w:rsid w:val="00855D1C"/>
    <w:rsid w:val="00855F03"/>
    <w:rsid w:val="008573F2"/>
    <w:rsid w:val="008574AC"/>
    <w:rsid w:val="00857BD1"/>
    <w:rsid w:val="00860018"/>
    <w:rsid w:val="008601C5"/>
    <w:rsid w:val="00860598"/>
    <w:rsid w:val="00860B49"/>
    <w:rsid w:val="00860DAF"/>
    <w:rsid w:val="00860DCA"/>
    <w:rsid w:val="00860F3B"/>
    <w:rsid w:val="00861630"/>
    <w:rsid w:val="00861DA1"/>
    <w:rsid w:val="00861DEC"/>
    <w:rsid w:val="00861E43"/>
    <w:rsid w:val="00861E7A"/>
    <w:rsid w:val="00862622"/>
    <w:rsid w:val="0086294B"/>
    <w:rsid w:val="00862E63"/>
    <w:rsid w:val="00863008"/>
    <w:rsid w:val="008634C4"/>
    <w:rsid w:val="00863875"/>
    <w:rsid w:val="00863EF9"/>
    <w:rsid w:val="008641C7"/>
    <w:rsid w:val="00864B7B"/>
    <w:rsid w:val="00865417"/>
    <w:rsid w:val="0086668F"/>
    <w:rsid w:val="0086757E"/>
    <w:rsid w:val="00867598"/>
    <w:rsid w:val="00867A09"/>
    <w:rsid w:val="00867C19"/>
    <w:rsid w:val="00867CED"/>
    <w:rsid w:val="00871051"/>
    <w:rsid w:val="0087191A"/>
    <w:rsid w:val="00871925"/>
    <w:rsid w:val="00871B21"/>
    <w:rsid w:val="00872B40"/>
    <w:rsid w:val="00873084"/>
    <w:rsid w:val="00873372"/>
    <w:rsid w:val="008737DB"/>
    <w:rsid w:val="00873882"/>
    <w:rsid w:val="00874026"/>
    <w:rsid w:val="0087419E"/>
    <w:rsid w:val="0087421F"/>
    <w:rsid w:val="00874426"/>
    <w:rsid w:val="008749F9"/>
    <w:rsid w:val="00875756"/>
    <w:rsid w:val="008758E2"/>
    <w:rsid w:val="00875BEB"/>
    <w:rsid w:val="00876003"/>
    <w:rsid w:val="00876541"/>
    <w:rsid w:val="008771B5"/>
    <w:rsid w:val="00877548"/>
    <w:rsid w:val="00877742"/>
    <w:rsid w:val="00880813"/>
    <w:rsid w:val="00880DD2"/>
    <w:rsid w:val="0088134C"/>
    <w:rsid w:val="00881404"/>
    <w:rsid w:val="008815B3"/>
    <w:rsid w:val="00881F1E"/>
    <w:rsid w:val="00882874"/>
    <w:rsid w:val="00882BE6"/>
    <w:rsid w:val="00882CC7"/>
    <w:rsid w:val="00882E28"/>
    <w:rsid w:val="00882FAF"/>
    <w:rsid w:val="00884084"/>
    <w:rsid w:val="008840FD"/>
    <w:rsid w:val="00884160"/>
    <w:rsid w:val="0088498A"/>
    <w:rsid w:val="00884ED2"/>
    <w:rsid w:val="00885A17"/>
    <w:rsid w:val="008860A3"/>
    <w:rsid w:val="00886336"/>
    <w:rsid w:val="00886D14"/>
    <w:rsid w:val="00886D18"/>
    <w:rsid w:val="00887154"/>
    <w:rsid w:val="0088735A"/>
    <w:rsid w:val="008874CA"/>
    <w:rsid w:val="00887C5A"/>
    <w:rsid w:val="00890094"/>
    <w:rsid w:val="008903B7"/>
    <w:rsid w:val="008904B6"/>
    <w:rsid w:val="008909F3"/>
    <w:rsid w:val="0089119D"/>
    <w:rsid w:val="0089170D"/>
    <w:rsid w:val="008919DA"/>
    <w:rsid w:val="00891DF0"/>
    <w:rsid w:val="00891F93"/>
    <w:rsid w:val="008920BD"/>
    <w:rsid w:val="008923B7"/>
    <w:rsid w:val="00892445"/>
    <w:rsid w:val="00893178"/>
    <w:rsid w:val="0089318A"/>
    <w:rsid w:val="00894B1B"/>
    <w:rsid w:val="008952D4"/>
    <w:rsid w:val="00895536"/>
    <w:rsid w:val="0089589D"/>
    <w:rsid w:val="00895F4E"/>
    <w:rsid w:val="008966B6"/>
    <w:rsid w:val="00896858"/>
    <w:rsid w:val="008968D0"/>
    <w:rsid w:val="00896F59"/>
    <w:rsid w:val="0089734D"/>
    <w:rsid w:val="008A10AC"/>
    <w:rsid w:val="008A13B6"/>
    <w:rsid w:val="008A24C9"/>
    <w:rsid w:val="008A3E47"/>
    <w:rsid w:val="008A48EC"/>
    <w:rsid w:val="008A4BF9"/>
    <w:rsid w:val="008A4E40"/>
    <w:rsid w:val="008A51D2"/>
    <w:rsid w:val="008A51EB"/>
    <w:rsid w:val="008A57AD"/>
    <w:rsid w:val="008A5C39"/>
    <w:rsid w:val="008A6128"/>
    <w:rsid w:val="008A6282"/>
    <w:rsid w:val="008A631E"/>
    <w:rsid w:val="008A644A"/>
    <w:rsid w:val="008A663C"/>
    <w:rsid w:val="008A684A"/>
    <w:rsid w:val="008A6920"/>
    <w:rsid w:val="008A7461"/>
    <w:rsid w:val="008A75C5"/>
    <w:rsid w:val="008A76F1"/>
    <w:rsid w:val="008A7735"/>
    <w:rsid w:val="008A7A20"/>
    <w:rsid w:val="008B0EDB"/>
    <w:rsid w:val="008B1093"/>
    <w:rsid w:val="008B1392"/>
    <w:rsid w:val="008B1D78"/>
    <w:rsid w:val="008B1E27"/>
    <w:rsid w:val="008B2B34"/>
    <w:rsid w:val="008B2CA3"/>
    <w:rsid w:val="008B2E11"/>
    <w:rsid w:val="008B37CD"/>
    <w:rsid w:val="008B3DE8"/>
    <w:rsid w:val="008B42E6"/>
    <w:rsid w:val="008B454D"/>
    <w:rsid w:val="008B4D99"/>
    <w:rsid w:val="008B4DFD"/>
    <w:rsid w:val="008B5681"/>
    <w:rsid w:val="008B60D3"/>
    <w:rsid w:val="008B60EA"/>
    <w:rsid w:val="008B6208"/>
    <w:rsid w:val="008B6774"/>
    <w:rsid w:val="008B68F1"/>
    <w:rsid w:val="008B6992"/>
    <w:rsid w:val="008B6B49"/>
    <w:rsid w:val="008B6E8C"/>
    <w:rsid w:val="008B7427"/>
    <w:rsid w:val="008B7BA7"/>
    <w:rsid w:val="008B7BD1"/>
    <w:rsid w:val="008B7F9D"/>
    <w:rsid w:val="008C034B"/>
    <w:rsid w:val="008C03BB"/>
    <w:rsid w:val="008C0889"/>
    <w:rsid w:val="008C09CD"/>
    <w:rsid w:val="008C09DD"/>
    <w:rsid w:val="008C0B65"/>
    <w:rsid w:val="008C1419"/>
    <w:rsid w:val="008C15C6"/>
    <w:rsid w:val="008C18E3"/>
    <w:rsid w:val="008C2312"/>
    <w:rsid w:val="008C23CF"/>
    <w:rsid w:val="008C2606"/>
    <w:rsid w:val="008C2832"/>
    <w:rsid w:val="008C2B2C"/>
    <w:rsid w:val="008C3343"/>
    <w:rsid w:val="008C3678"/>
    <w:rsid w:val="008C37AC"/>
    <w:rsid w:val="008C3CB5"/>
    <w:rsid w:val="008C481D"/>
    <w:rsid w:val="008C4F68"/>
    <w:rsid w:val="008C5D57"/>
    <w:rsid w:val="008C62BD"/>
    <w:rsid w:val="008C6673"/>
    <w:rsid w:val="008C6D91"/>
    <w:rsid w:val="008C6ED8"/>
    <w:rsid w:val="008C733C"/>
    <w:rsid w:val="008C7569"/>
    <w:rsid w:val="008C7799"/>
    <w:rsid w:val="008D004B"/>
    <w:rsid w:val="008D0207"/>
    <w:rsid w:val="008D02B0"/>
    <w:rsid w:val="008D08EA"/>
    <w:rsid w:val="008D17B1"/>
    <w:rsid w:val="008D1BA5"/>
    <w:rsid w:val="008D1C03"/>
    <w:rsid w:val="008D213F"/>
    <w:rsid w:val="008D21B7"/>
    <w:rsid w:val="008D248E"/>
    <w:rsid w:val="008D2CD5"/>
    <w:rsid w:val="008D3C6A"/>
    <w:rsid w:val="008D3ECD"/>
    <w:rsid w:val="008D3F72"/>
    <w:rsid w:val="008D42E2"/>
    <w:rsid w:val="008D47AF"/>
    <w:rsid w:val="008D506D"/>
    <w:rsid w:val="008D5190"/>
    <w:rsid w:val="008D6B96"/>
    <w:rsid w:val="008D6D8D"/>
    <w:rsid w:val="008D6E07"/>
    <w:rsid w:val="008D7277"/>
    <w:rsid w:val="008D73C5"/>
    <w:rsid w:val="008D7604"/>
    <w:rsid w:val="008D76CB"/>
    <w:rsid w:val="008E0775"/>
    <w:rsid w:val="008E0A4F"/>
    <w:rsid w:val="008E0CC2"/>
    <w:rsid w:val="008E0F0D"/>
    <w:rsid w:val="008E12D8"/>
    <w:rsid w:val="008E17A0"/>
    <w:rsid w:val="008E17B4"/>
    <w:rsid w:val="008E21CC"/>
    <w:rsid w:val="008E2A68"/>
    <w:rsid w:val="008E34A8"/>
    <w:rsid w:val="008E40FC"/>
    <w:rsid w:val="008E451F"/>
    <w:rsid w:val="008E4708"/>
    <w:rsid w:val="008E483C"/>
    <w:rsid w:val="008E4845"/>
    <w:rsid w:val="008E4A04"/>
    <w:rsid w:val="008E4C6C"/>
    <w:rsid w:val="008E519D"/>
    <w:rsid w:val="008E578D"/>
    <w:rsid w:val="008E5926"/>
    <w:rsid w:val="008E65F6"/>
    <w:rsid w:val="008E6DBD"/>
    <w:rsid w:val="008F008D"/>
    <w:rsid w:val="008F016A"/>
    <w:rsid w:val="008F028C"/>
    <w:rsid w:val="008F045D"/>
    <w:rsid w:val="008F08A6"/>
    <w:rsid w:val="008F09E9"/>
    <w:rsid w:val="008F0FBE"/>
    <w:rsid w:val="008F239C"/>
    <w:rsid w:val="008F2470"/>
    <w:rsid w:val="008F25C2"/>
    <w:rsid w:val="008F3323"/>
    <w:rsid w:val="008F33A4"/>
    <w:rsid w:val="008F340B"/>
    <w:rsid w:val="008F3C8F"/>
    <w:rsid w:val="008F4153"/>
    <w:rsid w:val="008F4C5A"/>
    <w:rsid w:val="008F4DFD"/>
    <w:rsid w:val="008F554A"/>
    <w:rsid w:val="008F57F8"/>
    <w:rsid w:val="008F5877"/>
    <w:rsid w:val="008F5E66"/>
    <w:rsid w:val="008F664F"/>
    <w:rsid w:val="008F67FD"/>
    <w:rsid w:val="008F6F4C"/>
    <w:rsid w:val="008F7117"/>
    <w:rsid w:val="008F7EFB"/>
    <w:rsid w:val="0090058F"/>
    <w:rsid w:val="00900815"/>
    <w:rsid w:val="00900F45"/>
    <w:rsid w:val="009010D2"/>
    <w:rsid w:val="00901115"/>
    <w:rsid w:val="009011F2"/>
    <w:rsid w:val="00901AEB"/>
    <w:rsid w:val="00901E46"/>
    <w:rsid w:val="00901E68"/>
    <w:rsid w:val="0090247F"/>
    <w:rsid w:val="00902630"/>
    <w:rsid w:val="00902C30"/>
    <w:rsid w:val="00902D2C"/>
    <w:rsid w:val="00902E83"/>
    <w:rsid w:val="009031C7"/>
    <w:rsid w:val="009032A4"/>
    <w:rsid w:val="009032A9"/>
    <w:rsid w:val="00903E6E"/>
    <w:rsid w:val="00904DB0"/>
    <w:rsid w:val="00905004"/>
    <w:rsid w:val="00905398"/>
    <w:rsid w:val="009053C4"/>
    <w:rsid w:val="009057FD"/>
    <w:rsid w:val="00906D25"/>
    <w:rsid w:val="00906DBF"/>
    <w:rsid w:val="00906DC8"/>
    <w:rsid w:val="009070F7"/>
    <w:rsid w:val="00907384"/>
    <w:rsid w:val="009077C7"/>
    <w:rsid w:val="00910271"/>
    <w:rsid w:val="009104EB"/>
    <w:rsid w:val="00910AAD"/>
    <w:rsid w:val="00910B6B"/>
    <w:rsid w:val="00910DBB"/>
    <w:rsid w:val="00911071"/>
    <w:rsid w:val="00911274"/>
    <w:rsid w:val="009112FA"/>
    <w:rsid w:val="00911425"/>
    <w:rsid w:val="00911932"/>
    <w:rsid w:val="0091207B"/>
    <w:rsid w:val="009125CD"/>
    <w:rsid w:val="00912D74"/>
    <w:rsid w:val="00913438"/>
    <w:rsid w:val="009139E1"/>
    <w:rsid w:val="009140C2"/>
    <w:rsid w:val="009141FA"/>
    <w:rsid w:val="00914522"/>
    <w:rsid w:val="00914A61"/>
    <w:rsid w:val="009154AA"/>
    <w:rsid w:val="00915CCB"/>
    <w:rsid w:val="00917AF4"/>
    <w:rsid w:val="00917BB5"/>
    <w:rsid w:val="00917CD8"/>
    <w:rsid w:val="00917F82"/>
    <w:rsid w:val="0092042F"/>
    <w:rsid w:val="00920636"/>
    <w:rsid w:val="009208A7"/>
    <w:rsid w:val="00920A24"/>
    <w:rsid w:val="00920A7F"/>
    <w:rsid w:val="00920BD0"/>
    <w:rsid w:val="00920C55"/>
    <w:rsid w:val="0092102B"/>
    <w:rsid w:val="00921055"/>
    <w:rsid w:val="00921369"/>
    <w:rsid w:val="00921664"/>
    <w:rsid w:val="0092170C"/>
    <w:rsid w:val="00921741"/>
    <w:rsid w:val="00921F4A"/>
    <w:rsid w:val="00922CAD"/>
    <w:rsid w:val="00922D70"/>
    <w:rsid w:val="00922DF7"/>
    <w:rsid w:val="00923096"/>
    <w:rsid w:val="009230CF"/>
    <w:rsid w:val="009237E1"/>
    <w:rsid w:val="00923F29"/>
    <w:rsid w:val="009240C8"/>
    <w:rsid w:val="00924BF5"/>
    <w:rsid w:val="00925192"/>
    <w:rsid w:val="00925452"/>
    <w:rsid w:val="009257E3"/>
    <w:rsid w:val="00925914"/>
    <w:rsid w:val="00925B90"/>
    <w:rsid w:val="00925D56"/>
    <w:rsid w:val="00925DC7"/>
    <w:rsid w:val="009260EF"/>
    <w:rsid w:val="00926395"/>
    <w:rsid w:val="00926943"/>
    <w:rsid w:val="00927121"/>
    <w:rsid w:val="0092720B"/>
    <w:rsid w:val="00927399"/>
    <w:rsid w:val="00927605"/>
    <w:rsid w:val="00927BC3"/>
    <w:rsid w:val="0093065D"/>
    <w:rsid w:val="009307A5"/>
    <w:rsid w:val="00932092"/>
    <w:rsid w:val="009324AB"/>
    <w:rsid w:val="00932B3A"/>
    <w:rsid w:val="00932E51"/>
    <w:rsid w:val="009330BB"/>
    <w:rsid w:val="009332B0"/>
    <w:rsid w:val="0093345B"/>
    <w:rsid w:val="00933B42"/>
    <w:rsid w:val="009343B4"/>
    <w:rsid w:val="00934442"/>
    <w:rsid w:val="0093469B"/>
    <w:rsid w:val="0093470C"/>
    <w:rsid w:val="00934842"/>
    <w:rsid w:val="00934E56"/>
    <w:rsid w:val="0093506E"/>
    <w:rsid w:val="00935D20"/>
    <w:rsid w:val="00935EAC"/>
    <w:rsid w:val="00936076"/>
    <w:rsid w:val="00936103"/>
    <w:rsid w:val="0093610F"/>
    <w:rsid w:val="009362F1"/>
    <w:rsid w:val="009368CA"/>
    <w:rsid w:val="009372EF"/>
    <w:rsid w:val="009372F0"/>
    <w:rsid w:val="0093741E"/>
    <w:rsid w:val="00937C17"/>
    <w:rsid w:val="00937CF6"/>
    <w:rsid w:val="00940888"/>
    <w:rsid w:val="00940D9A"/>
    <w:rsid w:val="009418B9"/>
    <w:rsid w:val="00942372"/>
    <w:rsid w:val="00943D45"/>
    <w:rsid w:val="00944DA9"/>
    <w:rsid w:val="00944F0A"/>
    <w:rsid w:val="00944F2F"/>
    <w:rsid w:val="00945570"/>
    <w:rsid w:val="00945B3A"/>
    <w:rsid w:val="00945D50"/>
    <w:rsid w:val="00945DC6"/>
    <w:rsid w:val="00945F67"/>
    <w:rsid w:val="00946348"/>
    <w:rsid w:val="00946E76"/>
    <w:rsid w:val="009472E6"/>
    <w:rsid w:val="00947505"/>
    <w:rsid w:val="00950131"/>
    <w:rsid w:val="00950661"/>
    <w:rsid w:val="00951DC5"/>
    <w:rsid w:val="00952453"/>
    <w:rsid w:val="009533AE"/>
    <w:rsid w:val="0095394F"/>
    <w:rsid w:val="0095412D"/>
    <w:rsid w:val="00955055"/>
    <w:rsid w:val="009553C0"/>
    <w:rsid w:val="00955E75"/>
    <w:rsid w:val="009560A1"/>
    <w:rsid w:val="00956323"/>
    <w:rsid w:val="00956E33"/>
    <w:rsid w:val="00956FAB"/>
    <w:rsid w:val="009571EB"/>
    <w:rsid w:val="00957651"/>
    <w:rsid w:val="00960080"/>
    <w:rsid w:val="00960A22"/>
    <w:rsid w:val="00960A2F"/>
    <w:rsid w:val="00960B71"/>
    <w:rsid w:val="0096119F"/>
    <w:rsid w:val="0096145F"/>
    <w:rsid w:val="009615DB"/>
    <w:rsid w:val="00961608"/>
    <w:rsid w:val="00961767"/>
    <w:rsid w:val="00962543"/>
    <w:rsid w:val="009631A2"/>
    <w:rsid w:val="009631E7"/>
    <w:rsid w:val="0096362E"/>
    <w:rsid w:val="00963735"/>
    <w:rsid w:val="00963F89"/>
    <w:rsid w:val="00964918"/>
    <w:rsid w:val="00964DF9"/>
    <w:rsid w:val="00965013"/>
    <w:rsid w:val="009656E4"/>
    <w:rsid w:val="009658AB"/>
    <w:rsid w:val="00966436"/>
    <w:rsid w:val="00966D72"/>
    <w:rsid w:val="00966F48"/>
    <w:rsid w:val="00966F99"/>
    <w:rsid w:val="00967445"/>
    <w:rsid w:val="00967770"/>
    <w:rsid w:val="00967B89"/>
    <w:rsid w:val="00967C94"/>
    <w:rsid w:val="00967CBE"/>
    <w:rsid w:val="009703CE"/>
    <w:rsid w:val="00970BE0"/>
    <w:rsid w:val="00970EA5"/>
    <w:rsid w:val="009712D2"/>
    <w:rsid w:val="00971B3A"/>
    <w:rsid w:val="00971B4A"/>
    <w:rsid w:val="009720AA"/>
    <w:rsid w:val="0097380B"/>
    <w:rsid w:val="009747B9"/>
    <w:rsid w:val="00974991"/>
    <w:rsid w:val="00974F45"/>
    <w:rsid w:val="00976BAE"/>
    <w:rsid w:val="00976F9D"/>
    <w:rsid w:val="009774C5"/>
    <w:rsid w:val="00977795"/>
    <w:rsid w:val="00977ED1"/>
    <w:rsid w:val="00977FF6"/>
    <w:rsid w:val="009801C0"/>
    <w:rsid w:val="00980426"/>
    <w:rsid w:val="00980450"/>
    <w:rsid w:val="0098072F"/>
    <w:rsid w:val="00980F41"/>
    <w:rsid w:val="00981E84"/>
    <w:rsid w:val="0098275E"/>
    <w:rsid w:val="009829F2"/>
    <w:rsid w:val="00982AB0"/>
    <w:rsid w:val="0098341D"/>
    <w:rsid w:val="009835BE"/>
    <w:rsid w:val="00983A3F"/>
    <w:rsid w:val="00983AC8"/>
    <w:rsid w:val="00983E23"/>
    <w:rsid w:val="0098424D"/>
    <w:rsid w:val="009845BA"/>
    <w:rsid w:val="0098526C"/>
    <w:rsid w:val="00985EE9"/>
    <w:rsid w:val="00986771"/>
    <w:rsid w:val="00986A79"/>
    <w:rsid w:val="00987294"/>
    <w:rsid w:val="00987370"/>
    <w:rsid w:val="0099123E"/>
    <w:rsid w:val="009912A6"/>
    <w:rsid w:val="00991535"/>
    <w:rsid w:val="0099196B"/>
    <w:rsid w:val="00992170"/>
    <w:rsid w:val="009924FA"/>
    <w:rsid w:val="009926A9"/>
    <w:rsid w:val="00992D1C"/>
    <w:rsid w:val="00992E43"/>
    <w:rsid w:val="0099357F"/>
    <w:rsid w:val="00993CF8"/>
    <w:rsid w:val="00993CFE"/>
    <w:rsid w:val="00994095"/>
    <w:rsid w:val="009942A7"/>
    <w:rsid w:val="00994583"/>
    <w:rsid w:val="0099470F"/>
    <w:rsid w:val="00994B97"/>
    <w:rsid w:val="00994D36"/>
    <w:rsid w:val="009952A5"/>
    <w:rsid w:val="00995C85"/>
    <w:rsid w:val="009964E8"/>
    <w:rsid w:val="00996753"/>
    <w:rsid w:val="00996A88"/>
    <w:rsid w:val="00996C28"/>
    <w:rsid w:val="009970AB"/>
    <w:rsid w:val="009975CD"/>
    <w:rsid w:val="0099791E"/>
    <w:rsid w:val="0099796B"/>
    <w:rsid w:val="009A015D"/>
    <w:rsid w:val="009A1129"/>
    <w:rsid w:val="009A144C"/>
    <w:rsid w:val="009A16FE"/>
    <w:rsid w:val="009A1864"/>
    <w:rsid w:val="009A1BBB"/>
    <w:rsid w:val="009A1E08"/>
    <w:rsid w:val="009A2126"/>
    <w:rsid w:val="009A29A1"/>
    <w:rsid w:val="009A2EB5"/>
    <w:rsid w:val="009A3962"/>
    <w:rsid w:val="009A39CB"/>
    <w:rsid w:val="009A45AE"/>
    <w:rsid w:val="009A4F34"/>
    <w:rsid w:val="009A53BB"/>
    <w:rsid w:val="009A54A0"/>
    <w:rsid w:val="009A576C"/>
    <w:rsid w:val="009A5E20"/>
    <w:rsid w:val="009A6229"/>
    <w:rsid w:val="009A70E4"/>
    <w:rsid w:val="009A7207"/>
    <w:rsid w:val="009A76C2"/>
    <w:rsid w:val="009B0BE6"/>
    <w:rsid w:val="009B213C"/>
    <w:rsid w:val="009B2727"/>
    <w:rsid w:val="009B27BB"/>
    <w:rsid w:val="009B2B2C"/>
    <w:rsid w:val="009B30F7"/>
    <w:rsid w:val="009B3534"/>
    <w:rsid w:val="009B3634"/>
    <w:rsid w:val="009B3750"/>
    <w:rsid w:val="009B3D29"/>
    <w:rsid w:val="009B3E48"/>
    <w:rsid w:val="009B4250"/>
    <w:rsid w:val="009B4BCD"/>
    <w:rsid w:val="009B4DB0"/>
    <w:rsid w:val="009B5A11"/>
    <w:rsid w:val="009B5DF9"/>
    <w:rsid w:val="009B5E87"/>
    <w:rsid w:val="009B5FA6"/>
    <w:rsid w:val="009B63BF"/>
    <w:rsid w:val="009B647E"/>
    <w:rsid w:val="009B689E"/>
    <w:rsid w:val="009B6FBC"/>
    <w:rsid w:val="009B70E2"/>
    <w:rsid w:val="009B7A6C"/>
    <w:rsid w:val="009B7A76"/>
    <w:rsid w:val="009B7F6F"/>
    <w:rsid w:val="009C0102"/>
    <w:rsid w:val="009C032A"/>
    <w:rsid w:val="009C0F05"/>
    <w:rsid w:val="009C1021"/>
    <w:rsid w:val="009C1304"/>
    <w:rsid w:val="009C18C7"/>
    <w:rsid w:val="009C2101"/>
    <w:rsid w:val="009C2356"/>
    <w:rsid w:val="009C2875"/>
    <w:rsid w:val="009C2C7F"/>
    <w:rsid w:val="009C2EEE"/>
    <w:rsid w:val="009C34C5"/>
    <w:rsid w:val="009C37E5"/>
    <w:rsid w:val="009C38B5"/>
    <w:rsid w:val="009C38BC"/>
    <w:rsid w:val="009C3EC3"/>
    <w:rsid w:val="009C4BF5"/>
    <w:rsid w:val="009C4ED3"/>
    <w:rsid w:val="009C533A"/>
    <w:rsid w:val="009C5BA2"/>
    <w:rsid w:val="009C5DFB"/>
    <w:rsid w:val="009C632C"/>
    <w:rsid w:val="009C6578"/>
    <w:rsid w:val="009C68AB"/>
    <w:rsid w:val="009C6A32"/>
    <w:rsid w:val="009C73EB"/>
    <w:rsid w:val="009C7961"/>
    <w:rsid w:val="009C7A38"/>
    <w:rsid w:val="009D00C3"/>
    <w:rsid w:val="009D01B4"/>
    <w:rsid w:val="009D1039"/>
    <w:rsid w:val="009D13CF"/>
    <w:rsid w:val="009D1579"/>
    <w:rsid w:val="009D1B2D"/>
    <w:rsid w:val="009D296C"/>
    <w:rsid w:val="009D373C"/>
    <w:rsid w:val="009D3946"/>
    <w:rsid w:val="009D3D69"/>
    <w:rsid w:val="009D4089"/>
    <w:rsid w:val="009D418F"/>
    <w:rsid w:val="009D445E"/>
    <w:rsid w:val="009D44C4"/>
    <w:rsid w:val="009D4CCF"/>
    <w:rsid w:val="009D584F"/>
    <w:rsid w:val="009D5A09"/>
    <w:rsid w:val="009D5A9D"/>
    <w:rsid w:val="009D5E02"/>
    <w:rsid w:val="009D6295"/>
    <w:rsid w:val="009D7AD5"/>
    <w:rsid w:val="009D7C24"/>
    <w:rsid w:val="009D7EA8"/>
    <w:rsid w:val="009E03C5"/>
    <w:rsid w:val="009E045B"/>
    <w:rsid w:val="009E0663"/>
    <w:rsid w:val="009E1081"/>
    <w:rsid w:val="009E11C1"/>
    <w:rsid w:val="009E11E6"/>
    <w:rsid w:val="009E1346"/>
    <w:rsid w:val="009E1388"/>
    <w:rsid w:val="009E13F3"/>
    <w:rsid w:val="009E15AA"/>
    <w:rsid w:val="009E1757"/>
    <w:rsid w:val="009E1EE3"/>
    <w:rsid w:val="009E21FB"/>
    <w:rsid w:val="009E2271"/>
    <w:rsid w:val="009E2683"/>
    <w:rsid w:val="009E3B13"/>
    <w:rsid w:val="009E4386"/>
    <w:rsid w:val="009E524E"/>
    <w:rsid w:val="009E5653"/>
    <w:rsid w:val="009E589A"/>
    <w:rsid w:val="009E58B8"/>
    <w:rsid w:val="009E62CC"/>
    <w:rsid w:val="009E6518"/>
    <w:rsid w:val="009E65B8"/>
    <w:rsid w:val="009E66DB"/>
    <w:rsid w:val="009E66E7"/>
    <w:rsid w:val="009E69D3"/>
    <w:rsid w:val="009E6ACE"/>
    <w:rsid w:val="009E6C22"/>
    <w:rsid w:val="009E6CB7"/>
    <w:rsid w:val="009E6D3A"/>
    <w:rsid w:val="009E75D6"/>
    <w:rsid w:val="009E773E"/>
    <w:rsid w:val="009E775F"/>
    <w:rsid w:val="009E78FC"/>
    <w:rsid w:val="009E7C47"/>
    <w:rsid w:val="009F033D"/>
    <w:rsid w:val="009F04FC"/>
    <w:rsid w:val="009F05BE"/>
    <w:rsid w:val="009F0626"/>
    <w:rsid w:val="009F0C72"/>
    <w:rsid w:val="009F0EF9"/>
    <w:rsid w:val="009F17DF"/>
    <w:rsid w:val="009F17F7"/>
    <w:rsid w:val="009F1D68"/>
    <w:rsid w:val="009F1E4F"/>
    <w:rsid w:val="009F214D"/>
    <w:rsid w:val="009F237B"/>
    <w:rsid w:val="009F249D"/>
    <w:rsid w:val="009F32C4"/>
    <w:rsid w:val="009F33D3"/>
    <w:rsid w:val="009F3533"/>
    <w:rsid w:val="009F3797"/>
    <w:rsid w:val="009F3F9D"/>
    <w:rsid w:val="009F4683"/>
    <w:rsid w:val="009F46E3"/>
    <w:rsid w:val="009F4E72"/>
    <w:rsid w:val="009F4F7F"/>
    <w:rsid w:val="009F4FB1"/>
    <w:rsid w:val="009F59B0"/>
    <w:rsid w:val="009F5A81"/>
    <w:rsid w:val="009F6325"/>
    <w:rsid w:val="009F72FD"/>
    <w:rsid w:val="009F75F5"/>
    <w:rsid w:val="009F7A3E"/>
    <w:rsid w:val="009F7B19"/>
    <w:rsid w:val="00A0069C"/>
    <w:rsid w:val="00A008C0"/>
    <w:rsid w:val="00A017C6"/>
    <w:rsid w:val="00A01CE2"/>
    <w:rsid w:val="00A027FF"/>
    <w:rsid w:val="00A029A0"/>
    <w:rsid w:val="00A02CDA"/>
    <w:rsid w:val="00A02D6E"/>
    <w:rsid w:val="00A030E3"/>
    <w:rsid w:val="00A03597"/>
    <w:rsid w:val="00A0364E"/>
    <w:rsid w:val="00A03734"/>
    <w:rsid w:val="00A03960"/>
    <w:rsid w:val="00A03D60"/>
    <w:rsid w:val="00A03E3E"/>
    <w:rsid w:val="00A04216"/>
    <w:rsid w:val="00A04290"/>
    <w:rsid w:val="00A0486D"/>
    <w:rsid w:val="00A05125"/>
    <w:rsid w:val="00A052A9"/>
    <w:rsid w:val="00A05F25"/>
    <w:rsid w:val="00A06592"/>
    <w:rsid w:val="00A0737D"/>
    <w:rsid w:val="00A07D18"/>
    <w:rsid w:val="00A07DAE"/>
    <w:rsid w:val="00A103BB"/>
    <w:rsid w:val="00A1106B"/>
    <w:rsid w:val="00A11383"/>
    <w:rsid w:val="00A11BEF"/>
    <w:rsid w:val="00A11C25"/>
    <w:rsid w:val="00A11CA3"/>
    <w:rsid w:val="00A11D1A"/>
    <w:rsid w:val="00A11E35"/>
    <w:rsid w:val="00A1260C"/>
    <w:rsid w:val="00A126E6"/>
    <w:rsid w:val="00A12B9D"/>
    <w:rsid w:val="00A131E4"/>
    <w:rsid w:val="00A13373"/>
    <w:rsid w:val="00A13376"/>
    <w:rsid w:val="00A1349D"/>
    <w:rsid w:val="00A13863"/>
    <w:rsid w:val="00A148C0"/>
    <w:rsid w:val="00A1497D"/>
    <w:rsid w:val="00A14E70"/>
    <w:rsid w:val="00A1536B"/>
    <w:rsid w:val="00A15C5A"/>
    <w:rsid w:val="00A15CD2"/>
    <w:rsid w:val="00A160C0"/>
    <w:rsid w:val="00A171F7"/>
    <w:rsid w:val="00A17877"/>
    <w:rsid w:val="00A17EF9"/>
    <w:rsid w:val="00A20EEF"/>
    <w:rsid w:val="00A20F62"/>
    <w:rsid w:val="00A21993"/>
    <w:rsid w:val="00A21F1D"/>
    <w:rsid w:val="00A23103"/>
    <w:rsid w:val="00A234F9"/>
    <w:rsid w:val="00A23869"/>
    <w:rsid w:val="00A23E02"/>
    <w:rsid w:val="00A23F80"/>
    <w:rsid w:val="00A24262"/>
    <w:rsid w:val="00A24A90"/>
    <w:rsid w:val="00A24AF1"/>
    <w:rsid w:val="00A24B73"/>
    <w:rsid w:val="00A2519F"/>
    <w:rsid w:val="00A25782"/>
    <w:rsid w:val="00A2582E"/>
    <w:rsid w:val="00A259ED"/>
    <w:rsid w:val="00A2614A"/>
    <w:rsid w:val="00A26197"/>
    <w:rsid w:val="00A262A5"/>
    <w:rsid w:val="00A2654C"/>
    <w:rsid w:val="00A2683C"/>
    <w:rsid w:val="00A269B3"/>
    <w:rsid w:val="00A26AC0"/>
    <w:rsid w:val="00A26B17"/>
    <w:rsid w:val="00A270A2"/>
    <w:rsid w:val="00A27C60"/>
    <w:rsid w:val="00A300A3"/>
    <w:rsid w:val="00A300B8"/>
    <w:rsid w:val="00A30201"/>
    <w:rsid w:val="00A302B3"/>
    <w:rsid w:val="00A30B8C"/>
    <w:rsid w:val="00A30EEB"/>
    <w:rsid w:val="00A312B5"/>
    <w:rsid w:val="00A315A7"/>
    <w:rsid w:val="00A316D2"/>
    <w:rsid w:val="00A31A9B"/>
    <w:rsid w:val="00A3238C"/>
    <w:rsid w:val="00A334B1"/>
    <w:rsid w:val="00A336CB"/>
    <w:rsid w:val="00A33AF4"/>
    <w:rsid w:val="00A3421F"/>
    <w:rsid w:val="00A347A9"/>
    <w:rsid w:val="00A34C36"/>
    <w:rsid w:val="00A35180"/>
    <w:rsid w:val="00A35AF8"/>
    <w:rsid w:val="00A35B67"/>
    <w:rsid w:val="00A35D85"/>
    <w:rsid w:val="00A35F5A"/>
    <w:rsid w:val="00A36068"/>
    <w:rsid w:val="00A361B6"/>
    <w:rsid w:val="00A36490"/>
    <w:rsid w:val="00A364AC"/>
    <w:rsid w:val="00A368FD"/>
    <w:rsid w:val="00A36A85"/>
    <w:rsid w:val="00A36FD1"/>
    <w:rsid w:val="00A37AB2"/>
    <w:rsid w:val="00A37D54"/>
    <w:rsid w:val="00A37FF8"/>
    <w:rsid w:val="00A40033"/>
    <w:rsid w:val="00A40333"/>
    <w:rsid w:val="00A40351"/>
    <w:rsid w:val="00A41033"/>
    <w:rsid w:val="00A41289"/>
    <w:rsid w:val="00A41B04"/>
    <w:rsid w:val="00A41CDF"/>
    <w:rsid w:val="00A429F9"/>
    <w:rsid w:val="00A43053"/>
    <w:rsid w:val="00A44A18"/>
    <w:rsid w:val="00A44A95"/>
    <w:rsid w:val="00A44D1F"/>
    <w:rsid w:val="00A454AA"/>
    <w:rsid w:val="00A46B9D"/>
    <w:rsid w:val="00A472AF"/>
    <w:rsid w:val="00A47C2F"/>
    <w:rsid w:val="00A47ED0"/>
    <w:rsid w:val="00A50502"/>
    <w:rsid w:val="00A50945"/>
    <w:rsid w:val="00A50A2D"/>
    <w:rsid w:val="00A50A52"/>
    <w:rsid w:val="00A50B21"/>
    <w:rsid w:val="00A5121A"/>
    <w:rsid w:val="00A519EF"/>
    <w:rsid w:val="00A51E2B"/>
    <w:rsid w:val="00A51FE8"/>
    <w:rsid w:val="00A52D78"/>
    <w:rsid w:val="00A52DFF"/>
    <w:rsid w:val="00A52E39"/>
    <w:rsid w:val="00A53637"/>
    <w:rsid w:val="00A537CE"/>
    <w:rsid w:val="00A547C1"/>
    <w:rsid w:val="00A54F9E"/>
    <w:rsid w:val="00A565D7"/>
    <w:rsid w:val="00A56B87"/>
    <w:rsid w:val="00A56D43"/>
    <w:rsid w:val="00A570E3"/>
    <w:rsid w:val="00A57537"/>
    <w:rsid w:val="00A57727"/>
    <w:rsid w:val="00A5785A"/>
    <w:rsid w:val="00A5788C"/>
    <w:rsid w:val="00A57CB2"/>
    <w:rsid w:val="00A60262"/>
    <w:rsid w:val="00A60E7B"/>
    <w:rsid w:val="00A61C5D"/>
    <w:rsid w:val="00A625CB"/>
    <w:rsid w:val="00A62D04"/>
    <w:rsid w:val="00A63C2D"/>
    <w:rsid w:val="00A64D4C"/>
    <w:rsid w:val="00A65175"/>
    <w:rsid w:val="00A65928"/>
    <w:rsid w:val="00A66761"/>
    <w:rsid w:val="00A66E1E"/>
    <w:rsid w:val="00A67094"/>
    <w:rsid w:val="00A670C7"/>
    <w:rsid w:val="00A676A2"/>
    <w:rsid w:val="00A67C08"/>
    <w:rsid w:val="00A67E66"/>
    <w:rsid w:val="00A7045F"/>
    <w:rsid w:val="00A70A58"/>
    <w:rsid w:val="00A7116F"/>
    <w:rsid w:val="00A71C2F"/>
    <w:rsid w:val="00A71F38"/>
    <w:rsid w:val="00A7222E"/>
    <w:rsid w:val="00A725B4"/>
    <w:rsid w:val="00A7276C"/>
    <w:rsid w:val="00A729B5"/>
    <w:rsid w:val="00A730F6"/>
    <w:rsid w:val="00A73221"/>
    <w:rsid w:val="00A7349D"/>
    <w:rsid w:val="00A73A4C"/>
    <w:rsid w:val="00A740C1"/>
    <w:rsid w:val="00A749C5"/>
    <w:rsid w:val="00A74AD2"/>
    <w:rsid w:val="00A74F98"/>
    <w:rsid w:val="00A75C90"/>
    <w:rsid w:val="00A75FA7"/>
    <w:rsid w:val="00A760BF"/>
    <w:rsid w:val="00A761A9"/>
    <w:rsid w:val="00A76481"/>
    <w:rsid w:val="00A764D8"/>
    <w:rsid w:val="00A76629"/>
    <w:rsid w:val="00A76666"/>
    <w:rsid w:val="00A76DC3"/>
    <w:rsid w:val="00A7712D"/>
    <w:rsid w:val="00A7787C"/>
    <w:rsid w:val="00A77987"/>
    <w:rsid w:val="00A77E14"/>
    <w:rsid w:val="00A80B6F"/>
    <w:rsid w:val="00A80EFF"/>
    <w:rsid w:val="00A810C0"/>
    <w:rsid w:val="00A81C9A"/>
    <w:rsid w:val="00A8233A"/>
    <w:rsid w:val="00A8295E"/>
    <w:rsid w:val="00A838CD"/>
    <w:rsid w:val="00A83B7E"/>
    <w:rsid w:val="00A84147"/>
    <w:rsid w:val="00A844BA"/>
    <w:rsid w:val="00A8472D"/>
    <w:rsid w:val="00A84F8D"/>
    <w:rsid w:val="00A85C60"/>
    <w:rsid w:val="00A86397"/>
    <w:rsid w:val="00A865DA"/>
    <w:rsid w:val="00A86E4C"/>
    <w:rsid w:val="00A873ED"/>
    <w:rsid w:val="00A875D1"/>
    <w:rsid w:val="00A87DBD"/>
    <w:rsid w:val="00A900C0"/>
    <w:rsid w:val="00A9106B"/>
    <w:rsid w:val="00A92691"/>
    <w:rsid w:val="00A92DDE"/>
    <w:rsid w:val="00A93196"/>
    <w:rsid w:val="00A9358F"/>
    <w:rsid w:val="00A93BBE"/>
    <w:rsid w:val="00A93E79"/>
    <w:rsid w:val="00A942EB"/>
    <w:rsid w:val="00A94606"/>
    <w:rsid w:val="00A9473D"/>
    <w:rsid w:val="00A94C4F"/>
    <w:rsid w:val="00A950F1"/>
    <w:rsid w:val="00A95ADA"/>
    <w:rsid w:val="00A9604B"/>
    <w:rsid w:val="00A9627A"/>
    <w:rsid w:val="00A964E5"/>
    <w:rsid w:val="00A96690"/>
    <w:rsid w:val="00A96912"/>
    <w:rsid w:val="00A96A6D"/>
    <w:rsid w:val="00A96BCB"/>
    <w:rsid w:val="00A9735A"/>
    <w:rsid w:val="00A97A69"/>
    <w:rsid w:val="00A97B73"/>
    <w:rsid w:val="00A97DE7"/>
    <w:rsid w:val="00A97EB3"/>
    <w:rsid w:val="00A97FFA"/>
    <w:rsid w:val="00AA005C"/>
    <w:rsid w:val="00AA1124"/>
    <w:rsid w:val="00AA12B0"/>
    <w:rsid w:val="00AA1546"/>
    <w:rsid w:val="00AA17B5"/>
    <w:rsid w:val="00AA1802"/>
    <w:rsid w:val="00AA18B7"/>
    <w:rsid w:val="00AA1A58"/>
    <w:rsid w:val="00AA1B2F"/>
    <w:rsid w:val="00AA1CAE"/>
    <w:rsid w:val="00AA22E9"/>
    <w:rsid w:val="00AA255F"/>
    <w:rsid w:val="00AA2F25"/>
    <w:rsid w:val="00AA3E63"/>
    <w:rsid w:val="00AA3EA8"/>
    <w:rsid w:val="00AA3F2E"/>
    <w:rsid w:val="00AA417E"/>
    <w:rsid w:val="00AA49ED"/>
    <w:rsid w:val="00AA4D93"/>
    <w:rsid w:val="00AA4F76"/>
    <w:rsid w:val="00AA539A"/>
    <w:rsid w:val="00AA5E1B"/>
    <w:rsid w:val="00AA6573"/>
    <w:rsid w:val="00AA6F7A"/>
    <w:rsid w:val="00AA7103"/>
    <w:rsid w:val="00AA730E"/>
    <w:rsid w:val="00AA76F5"/>
    <w:rsid w:val="00AA79B5"/>
    <w:rsid w:val="00AA7A88"/>
    <w:rsid w:val="00AB0287"/>
    <w:rsid w:val="00AB068A"/>
    <w:rsid w:val="00AB0FAB"/>
    <w:rsid w:val="00AB10DC"/>
    <w:rsid w:val="00AB12FC"/>
    <w:rsid w:val="00AB14EC"/>
    <w:rsid w:val="00AB154C"/>
    <w:rsid w:val="00AB1717"/>
    <w:rsid w:val="00AB20AB"/>
    <w:rsid w:val="00AB310D"/>
    <w:rsid w:val="00AB3143"/>
    <w:rsid w:val="00AB35DE"/>
    <w:rsid w:val="00AB3862"/>
    <w:rsid w:val="00AB422B"/>
    <w:rsid w:val="00AB4C58"/>
    <w:rsid w:val="00AB55F3"/>
    <w:rsid w:val="00AB56E8"/>
    <w:rsid w:val="00AB5EDF"/>
    <w:rsid w:val="00AB6289"/>
    <w:rsid w:val="00AB67BC"/>
    <w:rsid w:val="00AB6811"/>
    <w:rsid w:val="00AB7B49"/>
    <w:rsid w:val="00AB7D26"/>
    <w:rsid w:val="00AB7DAC"/>
    <w:rsid w:val="00AC0304"/>
    <w:rsid w:val="00AC0653"/>
    <w:rsid w:val="00AC089E"/>
    <w:rsid w:val="00AC0A3F"/>
    <w:rsid w:val="00AC12FC"/>
    <w:rsid w:val="00AC13EE"/>
    <w:rsid w:val="00AC1A17"/>
    <w:rsid w:val="00AC1E19"/>
    <w:rsid w:val="00AC2182"/>
    <w:rsid w:val="00AC2F11"/>
    <w:rsid w:val="00AC36BD"/>
    <w:rsid w:val="00AC38A3"/>
    <w:rsid w:val="00AC3BB2"/>
    <w:rsid w:val="00AC51BA"/>
    <w:rsid w:val="00AC5692"/>
    <w:rsid w:val="00AC58BD"/>
    <w:rsid w:val="00AC593B"/>
    <w:rsid w:val="00AC6234"/>
    <w:rsid w:val="00AC6D36"/>
    <w:rsid w:val="00AC7025"/>
    <w:rsid w:val="00AC7216"/>
    <w:rsid w:val="00AC7923"/>
    <w:rsid w:val="00AC7FA0"/>
    <w:rsid w:val="00AD0005"/>
    <w:rsid w:val="00AD00EC"/>
    <w:rsid w:val="00AD0451"/>
    <w:rsid w:val="00AD04A0"/>
    <w:rsid w:val="00AD0B54"/>
    <w:rsid w:val="00AD0BC4"/>
    <w:rsid w:val="00AD12DD"/>
    <w:rsid w:val="00AD2338"/>
    <w:rsid w:val="00AD29A9"/>
    <w:rsid w:val="00AD3434"/>
    <w:rsid w:val="00AD3833"/>
    <w:rsid w:val="00AD3E82"/>
    <w:rsid w:val="00AD4008"/>
    <w:rsid w:val="00AD47BE"/>
    <w:rsid w:val="00AD4856"/>
    <w:rsid w:val="00AD554D"/>
    <w:rsid w:val="00AD55F3"/>
    <w:rsid w:val="00AD56E9"/>
    <w:rsid w:val="00AD585D"/>
    <w:rsid w:val="00AD61C5"/>
    <w:rsid w:val="00AD692B"/>
    <w:rsid w:val="00AD7173"/>
    <w:rsid w:val="00AD79CE"/>
    <w:rsid w:val="00AD79F6"/>
    <w:rsid w:val="00AD7A94"/>
    <w:rsid w:val="00AD7F75"/>
    <w:rsid w:val="00AE0468"/>
    <w:rsid w:val="00AE0723"/>
    <w:rsid w:val="00AE07BC"/>
    <w:rsid w:val="00AE0C6F"/>
    <w:rsid w:val="00AE1065"/>
    <w:rsid w:val="00AE1540"/>
    <w:rsid w:val="00AE1BD9"/>
    <w:rsid w:val="00AE1E1B"/>
    <w:rsid w:val="00AE2602"/>
    <w:rsid w:val="00AE2DD9"/>
    <w:rsid w:val="00AE30DD"/>
    <w:rsid w:val="00AE33AF"/>
    <w:rsid w:val="00AE3421"/>
    <w:rsid w:val="00AE3799"/>
    <w:rsid w:val="00AE3B53"/>
    <w:rsid w:val="00AE3E97"/>
    <w:rsid w:val="00AE3F65"/>
    <w:rsid w:val="00AE40DB"/>
    <w:rsid w:val="00AE4655"/>
    <w:rsid w:val="00AE4F31"/>
    <w:rsid w:val="00AE5B09"/>
    <w:rsid w:val="00AE721B"/>
    <w:rsid w:val="00AE73B8"/>
    <w:rsid w:val="00AE76F7"/>
    <w:rsid w:val="00AE7A30"/>
    <w:rsid w:val="00AF04A9"/>
    <w:rsid w:val="00AF0945"/>
    <w:rsid w:val="00AF0AFD"/>
    <w:rsid w:val="00AF0C8A"/>
    <w:rsid w:val="00AF0F23"/>
    <w:rsid w:val="00AF1061"/>
    <w:rsid w:val="00AF266A"/>
    <w:rsid w:val="00AF286D"/>
    <w:rsid w:val="00AF2CDB"/>
    <w:rsid w:val="00AF2D69"/>
    <w:rsid w:val="00AF36B2"/>
    <w:rsid w:val="00AF3A4E"/>
    <w:rsid w:val="00AF3A59"/>
    <w:rsid w:val="00AF3B1D"/>
    <w:rsid w:val="00AF3D75"/>
    <w:rsid w:val="00AF48AA"/>
    <w:rsid w:val="00AF4A53"/>
    <w:rsid w:val="00AF4F88"/>
    <w:rsid w:val="00AF4FF6"/>
    <w:rsid w:val="00AF559C"/>
    <w:rsid w:val="00AF5A98"/>
    <w:rsid w:val="00AF5E30"/>
    <w:rsid w:val="00AF6772"/>
    <w:rsid w:val="00AF6C60"/>
    <w:rsid w:val="00AF6E6C"/>
    <w:rsid w:val="00AF7020"/>
    <w:rsid w:val="00AF72FC"/>
    <w:rsid w:val="00AF7B69"/>
    <w:rsid w:val="00AF7FCE"/>
    <w:rsid w:val="00B0009F"/>
    <w:rsid w:val="00B003A6"/>
    <w:rsid w:val="00B005E1"/>
    <w:rsid w:val="00B00A04"/>
    <w:rsid w:val="00B00A8B"/>
    <w:rsid w:val="00B00E32"/>
    <w:rsid w:val="00B020D3"/>
    <w:rsid w:val="00B0215B"/>
    <w:rsid w:val="00B025C1"/>
    <w:rsid w:val="00B0297F"/>
    <w:rsid w:val="00B02D7D"/>
    <w:rsid w:val="00B03692"/>
    <w:rsid w:val="00B03A2B"/>
    <w:rsid w:val="00B041D1"/>
    <w:rsid w:val="00B0529A"/>
    <w:rsid w:val="00B052E6"/>
    <w:rsid w:val="00B053A9"/>
    <w:rsid w:val="00B05C6B"/>
    <w:rsid w:val="00B060C2"/>
    <w:rsid w:val="00B06460"/>
    <w:rsid w:val="00B065C6"/>
    <w:rsid w:val="00B0699F"/>
    <w:rsid w:val="00B069EF"/>
    <w:rsid w:val="00B06D92"/>
    <w:rsid w:val="00B0753B"/>
    <w:rsid w:val="00B078FD"/>
    <w:rsid w:val="00B07ABD"/>
    <w:rsid w:val="00B07BC6"/>
    <w:rsid w:val="00B07FC9"/>
    <w:rsid w:val="00B10849"/>
    <w:rsid w:val="00B10B0C"/>
    <w:rsid w:val="00B10B9C"/>
    <w:rsid w:val="00B10E75"/>
    <w:rsid w:val="00B1106D"/>
    <w:rsid w:val="00B11B37"/>
    <w:rsid w:val="00B11C82"/>
    <w:rsid w:val="00B11D1C"/>
    <w:rsid w:val="00B11D6D"/>
    <w:rsid w:val="00B1236B"/>
    <w:rsid w:val="00B127AC"/>
    <w:rsid w:val="00B12942"/>
    <w:rsid w:val="00B12E27"/>
    <w:rsid w:val="00B12E6E"/>
    <w:rsid w:val="00B12EF3"/>
    <w:rsid w:val="00B12FF9"/>
    <w:rsid w:val="00B1314C"/>
    <w:rsid w:val="00B13794"/>
    <w:rsid w:val="00B137AD"/>
    <w:rsid w:val="00B13B4D"/>
    <w:rsid w:val="00B145E8"/>
    <w:rsid w:val="00B145EB"/>
    <w:rsid w:val="00B1522C"/>
    <w:rsid w:val="00B156DF"/>
    <w:rsid w:val="00B15777"/>
    <w:rsid w:val="00B16560"/>
    <w:rsid w:val="00B16704"/>
    <w:rsid w:val="00B17B09"/>
    <w:rsid w:val="00B17EF8"/>
    <w:rsid w:val="00B20432"/>
    <w:rsid w:val="00B20B13"/>
    <w:rsid w:val="00B20F51"/>
    <w:rsid w:val="00B2127C"/>
    <w:rsid w:val="00B21386"/>
    <w:rsid w:val="00B214AD"/>
    <w:rsid w:val="00B214F5"/>
    <w:rsid w:val="00B2177B"/>
    <w:rsid w:val="00B21A39"/>
    <w:rsid w:val="00B2206E"/>
    <w:rsid w:val="00B22534"/>
    <w:rsid w:val="00B22826"/>
    <w:rsid w:val="00B22A61"/>
    <w:rsid w:val="00B22AC1"/>
    <w:rsid w:val="00B22B94"/>
    <w:rsid w:val="00B230C1"/>
    <w:rsid w:val="00B23102"/>
    <w:rsid w:val="00B23825"/>
    <w:rsid w:val="00B24245"/>
    <w:rsid w:val="00B2476E"/>
    <w:rsid w:val="00B24A67"/>
    <w:rsid w:val="00B24DDB"/>
    <w:rsid w:val="00B24E91"/>
    <w:rsid w:val="00B24EAF"/>
    <w:rsid w:val="00B252DA"/>
    <w:rsid w:val="00B267BB"/>
    <w:rsid w:val="00B267DC"/>
    <w:rsid w:val="00B26C68"/>
    <w:rsid w:val="00B26E39"/>
    <w:rsid w:val="00B273FA"/>
    <w:rsid w:val="00B27580"/>
    <w:rsid w:val="00B276CB"/>
    <w:rsid w:val="00B27C82"/>
    <w:rsid w:val="00B30140"/>
    <w:rsid w:val="00B304A8"/>
    <w:rsid w:val="00B3118A"/>
    <w:rsid w:val="00B31262"/>
    <w:rsid w:val="00B3145C"/>
    <w:rsid w:val="00B32565"/>
    <w:rsid w:val="00B326D9"/>
    <w:rsid w:val="00B32CE5"/>
    <w:rsid w:val="00B34097"/>
    <w:rsid w:val="00B34367"/>
    <w:rsid w:val="00B343A9"/>
    <w:rsid w:val="00B343C7"/>
    <w:rsid w:val="00B3499A"/>
    <w:rsid w:val="00B34F0D"/>
    <w:rsid w:val="00B3563D"/>
    <w:rsid w:val="00B35722"/>
    <w:rsid w:val="00B35967"/>
    <w:rsid w:val="00B3698E"/>
    <w:rsid w:val="00B36DA6"/>
    <w:rsid w:val="00B36F8D"/>
    <w:rsid w:val="00B37064"/>
    <w:rsid w:val="00B376B2"/>
    <w:rsid w:val="00B37813"/>
    <w:rsid w:val="00B37FF6"/>
    <w:rsid w:val="00B40330"/>
    <w:rsid w:val="00B4146F"/>
    <w:rsid w:val="00B41710"/>
    <w:rsid w:val="00B41784"/>
    <w:rsid w:val="00B4275F"/>
    <w:rsid w:val="00B42C18"/>
    <w:rsid w:val="00B42E0B"/>
    <w:rsid w:val="00B42E79"/>
    <w:rsid w:val="00B43CD8"/>
    <w:rsid w:val="00B4437C"/>
    <w:rsid w:val="00B443E5"/>
    <w:rsid w:val="00B4444D"/>
    <w:rsid w:val="00B44B05"/>
    <w:rsid w:val="00B45318"/>
    <w:rsid w:val="00B457F9"/>
    <w:rsid w:val="00B45B70"/>
    <w:rsid w:val="00B467B6"/>
    <w:rsid w:val="00B46835"/>
    <w:rsid w:val="00B46A66"/>
    <w:rsid w:val="00B46F5F"/>
    <w:rsid w:val="00B47104"/>
    <w:rsid w:val="00B47359"/>
    <w:rsid w:val="00B47856"/>
    <w:rsid w:val="00B47B0E"/>
    <w:rsid w:val="00B47C69"/>
    <w:rsid w:val="00B500BE"/>
    <w:rsid w:val="00B503DA"/>
    <w:rsid w:val="00B51689"/>
    <w:rsid w:val="00B517B4"/>
    <w:rsid w:val="00B51D87"/>
    <w:rsid w:val="00B51FD0"/>
    <w:rsid w:val="00B52589"/>
    <w:rsid w:val="00B52738"/>
    <w:rsid w:val="00B52A5E"/>
    <w:rsid w:val="00B52BEA"/>
    <w:rsid w:val="00B532B8"/>
    <w:rsid w:val="00B53B52"/>
    <w:rsid w:val="00B5433C"/>
    <w:rsid w:val="00B543C3"/>
    <w:rsid w:val="00B54440"/>
    <w:rsid w:val="00B546FF"/>
    <w:rsid w:val="00B54A3A"/>
    <w:rsid w:val="00B54CFC"/>
    <w:rsid w:val="00B54DB9"/>
    <w:rsid w:val="00B5570D"/>
    <w:rsid w:val="00B55C2C"/>
    <w:rsid w:val="00B55D07"/>
    <w:rsid w:val="00B5638C"/>
    <w:rsid w:val="00B564B0"/>
    <w:rsid w:val="00B56CCF"/>
    <w:rsid w:val="00B5712B"/>
    <w:rsid w:val="00B57195"/>
    <w:rsid w:val="00B5726F"/>
    <w:rsid w:val="00B578C9"/>
    <w:rsid w:val="00B57BDA"/>
    <w:rsid w:val="00B57C64"/>
    <w:rsid w:val="00B57F7F"/>
    <w:rsid w:val="00B6022E"/>
    <w:rsid w:val="00B60430"/>
    <w:rsid w:val="00B60807"/>
    <w:rsid w:val="00B609EB"/>
    <w:rsid w:val="00B60E06"/>
    <w:rsid w:val="00B61904"/>
    <w:rsid w:val="00B61E1B"/>
    <w:rsid w:val="00B62223"/>
    <w:rsid w:val="00B624A5"/>
    <w:rsid w:val="00B6255F"/>
    <w:rsid w:val="00B62727"/>
    <w:rsid w:val="00B62DF8"/>
    <w:rsid w:val="00B62F75"/>
    <w:rsid w:val="00B635F5"/>
    <w:rsid w:val="00B63620"/>
    <w:rsid w:val="00B636D2"/>
    <w:rsid w:val="00B636FF"/>
    <w:rsid w:val="00B63B1E"/>
    <w:rsid w:val="00B63C87"/>
    <w:rsid w:val="00B6401F"/>
    <w:rsid w:val="00B6404A"/>
    <w:rsid w:val="00B65040"/>
    <w:rsid w:val="00B65105"/>
    <w:rsid w:val="00B65223"/>
    <w:rsid w:val="00B65930"/>
    <w:rsid w:val="00B65956"/>
    <w:rsid w:val="00B6612C"/>
    <w:rsid w:val="00B6638B"/>
    <w:rsid w:val="00B666A1"/>
    <w:rsid w:val="00B66744"/>
    <w:rsid w:val="00B67276"/>
    <w:rsid w:val="00B673B1"/>
    <w:rsid w:val="00B6753D"/>
    <w:rsid w:val="00B679CD"/>
    <w:rsid w:val="00B67C8E"/>
    <w:rsid w:val="00B67D2A"/>
    <w:rsid w:val="00B7021E"/>
    <w:rsid w:val="00B70228"/>
    <w:rsid w:val="00B703CF"/>
    <w:rsid w:val="00B70477"/>
    <w:rsid w:val="00B705B6"/>
    <w:rsid w:val="00B70F28"/>
    <w:rsid w:val="00B70F96"/>
    <w:rsid w:val="00B7139A"/>
    <w:rsid w:val="00B71E1B"/>
    <w:rsid w:val="00B71EBE"/>
    <w:rsid w:val="00B7228E"/>
    <w:rsid w:val="00B7269D"/>
    <w:rsid w:val="00B729E4"/>
    <w:rsid w:val="00B737F9"/>
    <w:rsid w:val="00B73950"/>
    <w:rsid w:val="00B73AC3"/>
    <w:rsid w:val="00B73F35"/>
    <w:rsid w:val="00B74174"/>
    <w:rsid w:val="00B743EF"/>
    <w:rsid w:val="00B75127"/>
    <w:rsid w:val="00B75213"/>
    <w:rsid w:val="00B7530B"/>
    <w:rsid w:val="00B75F64"/>
    <w:rsid w:val="00B76556"/>
    <w:rsid w:val="00B7660D"/>
    <w:rsid w:val="00B77191"/>
    <w:rsid w:val="00B771B0"/>
    <w:rsid w:val="00B774BC"/>
    <w:rsid w:val="00B80078"/>
    <w:rsid w:val="00B80360"/>
    <w:rsid w:val="00B80D7F"/>
    <w:rsid w:val="00B81004"/>
    <w:rsid w:val="00B81652"/>
    <w:rsid w:val="00B817BF"/>
    <w:rsid w:val="00B8180C"/>
    <w:rsid w:val="00B81DC2"/>
    <w:rsid w:val="00B820BE"/>
    <w:rsid w:val="00B82713"/>
    <w:rsid w:val="00B829A6"/>
    <w:rsid w:val="00B831D5"/>
    <w:rsid w:val="00B831F1"/>
    <w:rsid w:val="00B834C4"/>
    <w:rsid w:val="00B83587"/>
    <w:rsid w:val="00B83652"/>
    <w:rsid w:val="00B84068"/>
    <w:rsid w:val="00B84180"/>
    <w:rsid w:val="00B845F3"/>
    <w:rsid w:val="00B84FC5"/>
    <w:rsid w:val="00B8557C"/>
    <w:rsid w:val="00B85967"/>
    <w:rsid w:val="00B86021"/>
    <w:rsid w:val="00B86117"/>
    <w:rsid w:val="00B86D30"/>
    <w:rsid w:val="00B86DA8"/>
    <w:rsid w:val="00B874D9"/>
    <w:rsid w:val="00B87822"/>
    <w:rsid w:val="00B90015"/>
    <w:rsid w:val="00B90EE6"/>
    <w:rsid w:val="00B921AF"/>
    <w:rsid w:val="00B927B1"/>
    <w:rsid w:val="00B92A4B"/>
    <w:rsid w:val="00B9301A"/>
    <w:rsid w:val="00B93820"/>
    <w:rsid w:val="00B93A29"/>
    <w:rsid w:val="00B93A5C"/>
    <w:rsid w:val="00B93BDB"/>
    <w:rsid w:val="00B94172"/>
    <w:rsid w:val="00B94689"/>
    <w:rsid w:val="00B94F78"/>
    <w:rsid w:val="00B960B8"/>
    <w:rsid w:val="00B9637C"/>
    <w:rsid w:val="00B96494"/>
    <w:rsid w:val="00B964FE"/>
    <w:rsid w:val="00B96606"/>
    <w:rsid w:val="00B96733"/>
    <w:rsid w:val="00B96AA0"/>
    <w:rsid w:val="00B96CAD"/>
    <w:rsid w:val="00B9714F"/>
    <w:rsid w:val="00B9716E"/>
    <w:rsid w:val="00B973B0"/>
    <w:rsid w:val="00B97A8A"/>
    <w:rsid w:val="00BA022C"/>
    <w:rsid w:val="00BA044B"/>
    <w:rsid w:val="00BA0724"/>
    <w:rsid w:val="00BA0888"/>
    <w:rsid w:val="00BA0BAE"/>
    <w:rsid w:val="00BA0CA8"/>
    <w:rsid w:val="00BA1699"/>
    <w:rsid w:val="00BA2152"/>
    <w:rsid w:val="00BA2469"/>
    <w:rsid w:val="00BA2649"/>
    <w:rsid w:val="00BA2C37"/>
    <w:rsid w:val="00BA3446"/>
    <w:rsid w:val="00BA3DC5"/>
    <w:rsid w:val="00BA4C38"/>
    <w:rsid w:val="00BA4DB8"/>
    <w:rsid w:val="00BA4DDE"/>
    <w:rsid w:val="00BA5177"/>
    <w:rsid w:val="00BA5709"/>
    <w:rsid w:val="00BA5723"/>
    <w:rsid w:val="00BA57D3"/>
    <w:rsid w:val="00BA5C73"/>
    <w:rsid w:val="00BA5F69"/>
    <w:rsid w:val="00BA630E"/>
    <w:rsid w:val="00BA66E4"/>
    <w:rsid w:val="00BA6BAB"/>
    <w:rsid w:val="00BA7061"/>
    <w:rsid w:val="00BA7ED5"/>
    <w:rsid w:val="00BA7EF1"/>
    <w:rsid w:val="00BA7F91"/>
    <w:rsid w:val="00BB0244"/>
    <w:rsid w:val="00BB02C2"/>
    <w:rsid w:val="00BB0755"/>
    <w:rsid w:val="00BB0AB1"/>
    <w:rsid w:val="00BB0C83"/>
    <w:rsid w:val="00BB1284"/>
    <w:rsid w:val="00BB20CD"/>
    <w:rsid w:val="00BB218D"/>
    <w:rsid w:val="00BB223E"/>
    <w:rsid w:val="00BB36C9"/>
    <w:rsid w:val="00BB374F"/>
    <w:rsid w:val="00BB387F"/>
    <w:rsid w:val="00BB3B8F"/>
    <w:rsid w:val="00BB4366"/>
    <w:rsid w:val="00BB47EA"/>
    <w:rsid w:val="00BB4906"/>
    <w:rsid w:val="00BB4CA6"/>
    <w:rsid w:val="00BB4D43"/>
    <w:rsid w:val="00BB4D79"/>
    <w:rsid w:val="00BB537A"/>
    <w:rsid w:val="00BB558D"/>
    <w:rsid w:val="00BB636A"/>
    <w:rsid w:val="00BB64A9"/>
    <w:rsid w:val="00BB6676"/>
    <w:rsid w:val="00BB71B5"/>
    <w:rsid w:val="00BB7661"/>
    <w:rsid w:val="00BC1C02"/>
    <w:rsid w:val="00BC2A36"/>
    <w:rsid w:val="00BC3C85"/>
    <w:rsid w:val="00BC4144"/>
    <w:rsid w:val="00BC4F38"/>
    <w:rsid w:val="00BC57D1"/>
    <w:rsid w:val="00BC58DA"/>
    <w:rsid w:val="00BC5CB1"/>
    <w:rsid w:val="00BC5DED"/>
    <w:rsid w:val="00BC60D0"/>
    <w:rsid w:val="00BC6648"/>
    <w:rsid w:val="00BC6AC9"/>
    <w:rsid w:val="00BC6AF3"/>
    <w:rsid w:val="00BC742A"/>
    <w:rsid w:val="00BC7754"/>
    <w:rsid w:val="00BC7E47"/>
    <w:rsid w:val="00BD008B"/>
    <w:rsid w:val="00BD00A5"/>
    <w:rsid w:val="00BD02A2"/>
    <w:rsid w:val="00BD03ED"/>
    <w:rsid w:val="00BD0578"/>
    <w:rsid w:val="00BD05E1"/>
    <w:rsid w:val="00BD0616"/>
    <w:rsid w:val="00BD072F"/>
    <w:rsid w:val="00BD0EFC"/>
    <w:rsid w:val="00BD1466"/>
    <w:rsid w:val="00BD14A5"/>
    <w:rsid w:val="00BD1560"/>
    <w:rsid w:val="00BD1855"/>
    <w:rsid w:val="00BD1957"/>
    <w:rsid w:val="00BD1A28"/>
    <w:rsid w:val="00BD2040"/>
    <w:rsid w:val="00BD223F"/>
    <w:rsid w:val="00BD29D0"/>
    <w:rsid w:val="00BD2FC9"/>
    <w:rsid w:val="00BD3983"/>
    <w:rsid w:val="00BD3DD5"/>
    <w:rsid w:val="00BD3F44"/>
    <w:rsid w:val="00BD4E4C"/>
    <w:rsid w:val="00BD4FE2"/>
    <w:rsid w:val="00BD5926"/>
    <w:rsid w:val="00BD5AD1"/>
    <w:rsid w:val="00BD5EF4"/>
    <w:rsid w:val="00BD63A3"/>
    <w:rsid w:val="00BD6497"/>
    <w:rsid w:val="00BD64C7"/>
    <w:rsid w:val="00BD6587"/>
    <w:rsid w:val="00BD673A"/>
    <w:rsid w:val="00BD6891"/>
    <w:rsid w:val="00BD74EC"/>
    <w:rsid w:val="00BD7ADE"/>
    <w:rsid w:val="00BD7F1B"/>
    <w:rsid w:val="00BE0234"/>
    <w:rsid w:val="00BE0339"/>
    <w:rsid w:val="00BE1688"/>
    <w:rsid w:val="00BE1B08"/>
    <w:rsid w:val="00BE2FA3"/>
    <w:rsid w:val="00BE31C0"/>
    <w:rsid w:val="00BE31E2"/>
    <w:rsid w:val="00BE375A"/>
    <w:rsid w:val="00BE3DED"/>
    <w:rsid w:val="00BE431D"/>
    <w:rsid w:val="00BE4325"/>
    <w:rsid w:val="00BE46E0"/>
    <w:rsid w:val="00BE481A"/>
    <w:rsid w:val="00BE4F57"/>
    <w:rsid w:val="00BE5BDC"/>
    <w:rsid w:val="00BE5D13"/>
    <w:rsid w:val="00BE5E7C"/>
    <w:rsid w:val="00BE5ECA"/>
    <w:rsid w:val="00BE637A"/>
    <w:rsid w:val="00BE6C83"/>
    <w:rsid w:val="00BE6EF8"/>
    <w:rsid w:val="00BE74E9"/>
    <w:rsid w:val="00BE7CA2"/>
    <w:rsid w:val="00BF0174"/>
    <w:rsid w:val="00BF05BB"/>
    <w:rsid w:val="00BF1017"/>
    <w:rsid w:val="00BF11DE"/>
    <w:rsid w:val="00BF1785"/>
    <w:rsid w:val="00BF210E"/>
    <w:rsid w:val="00BF29E9"/>
    <w:rsid w:val="00BF2E4C"/>
    <w:rsid w:val="00BF2F03"/>
    <w:rsid w:val="00BF3154"/>
    <w:rsid w:val="00BF32FC"/>
    <w:rsid w:val="00BF3A3D"/>
    <w:rsid w:val="00BF3A57"/>
    <w:rsid w:val="00BF3A5D"/>
    <w:rsid w:val="00BF450D"/>
    <w:rsid w:val="00BF4C7C"/>
    <w:rsid w:val="00BF55C4"/>
    <w:rsid w:val="00BF5892"/>
    <w:rsid w:val="00BF5AD6"/>
    <w:rsid w:val="00BF5CF8"/>
    <w:rsid w:val="00BF61B4"/>
    <w:rsid w:val="00BF63FA"/>
    <w:rsid w:val="00BF6DDD"/>
    <w:rsid w:val="00BF7257"/>
    <w:rsid w:val="00BF74AD"/>
    <w:rsid w:val="00BF7A9A"/>
    <w:rsid w:val="00BF7DD3"/>
    <w:rsid w:val="00C009AB"/>
    <w:rsid w:val="00C010E5"/>
    <w:rsid w:val="00C011B5"/>
    <w:rsid w:val="00C017D7"/>
    <w:rsid w:val="00C01BC1"/>
    <w:rsid w:val="00C01D9D"/>
    <w:rsid w:val="00C020FD"/>
    <w:rsid w:val="00C0226C"/>
    <w:rsid w:val="00C02545"/>
    <w:rsid w:val="00C028EE"/>
    <w:rsid w:val="00C0303E"/>
    <w:rsid w:val="00C03768"/>
    <w:rsid w:val="00C03CFF"/>
    <w:rsid w:val="00C03DB5"/>
    <w:rsid w:val="00C047C5"/>
    <w:rsid w:val="00C04F93"/>
    <w:rsid w:val="00C055C8"/>
    <w:rsid w:val="00C05F32"/>
    <w:rsid w:val="00C06B4D"/>
    <w:rsid w:val="00C070A4"/>
    <w:rsid w:val="00C07938"/>
    <w:rsid w:val="00C07AFF"/>
    <w:rsid w:val="00C07FAE"/>
    <w:rsid w:val="00C1019D"/>
    <w:rsid w:val="00C10320"/>
    <w:rsid w:val="00C10D98"/>
    <w:rsid w:val="00C10D9D"/>
    <w:rsid w:val="00C110F2"/>
    <w:rsid w:val="00C114D1"/>
    <w:rsid w:val="00C11B41"/>
    <w:rsid w:val="00C1226D"/>
    <w:rsid w:val="00C1226F"/>
    <w:rsid w:val="00C12333"/>
    <w:rsid w:val="00C126E6"/>
    <w:rsid w:val="00C12810"/>
    <w:rsid w:val="00C12F27"/>
    <w:rsid w:val="00C12F2C"/>
    <w:rsid w:val="00C12FD0"/>
    <w:rsid w:val="00C13462"/>
    <w:rsid w:val="00C1354F"/>
    <w:rsid w:val="00C137C5"/>
    <w:rsid w:val="00C13B7D"/>
    <w:rsid w:val="00C13EA2"/>
    <w:rsid w:val="00C146AF"/>
    <w:rsid w:val="00C14BCE"/>
    <w:rsid w:val="00C14E45"/>
    <w:rsid w:val="00C14F61"/>
    <w:rsid w:val="00C1555D"/>
    <w:rsid w:val="00C158DC"/>
    <w:rsid w:val="00C162D9"/>
    <w:rsid w:val="00C16767"/>
    <w:rsid w:val="00C169C7"/>
    <w:rsid w:val="00C16A29"/>
    <w:rsid w:val="00C17BC3"/>
    <w:rsid w:val="00C206AB"/>
    <w:rsid w:val="00C20A10"/>
    <w:rsid w:val="00C20B81"/>
    <w:rsid w:val="00C20EE2"/>
    <w:rsid w:val="00C21F06"/>
    <w:rsid w:val="00C21F8E"/>
    <w:rsid w:val="00C2361D"/>
    <w:rsid w:val="00C23770"/>
    <w:rsid w:val="00C23ACA"/>
    <w:rsid w:val="00C23DC0"/>
    <w:rsid w:val="00C2414C"/>
    <w:rsid w:val="00C244C6"/>
    <w:rsid w:val="00C246D6"/>
    <w:rsid w:val="00C25633"/>
    <w:rsid w:val="00C26AAB"/>
    <w:rsid w:val="00C27086"/>
    <w:rsid w:val="00C27297"/>
    <w:rsid w:val="00C272C0"/>
    <w:rsid w:val="00C272DB"/>
    <w:rsid w:val="00C278FF"/>
    <w:rsid w:val="00C30074"/>
    <w:rsid w:val="00C3009E"/>
    <w:rsid w:val="00C306FC"/>
    <w:rsid w:val="00C3073F"/>
    <w:rsid w:val="00C3094D"/>
    <w:rsid w:val="00C30B48"/>
    <w:rsid w:val="00C314DE"/>
    <w:rsid w:val="00C316BB"/>
    <w:rsid w:val="00C31AE6"/>
    <w:rsid w:val="00C3220F"/>
    <w:rsid w:val="00C322B1"/>
    <w:rsid w:val="00C3257C"/>
    <w:rsid w:val="00C32AB2"/>
    <w:rsid w:val="00C32BC3"/>
    <w:rsid w:val="00C32D97"/>
    <w:rsid w:val="00C3354B"/>
    <w:rsid w:val="00C336D1"/>
    <w:rsid w:val="00C33DEF"/>
    <w:rsid w:val="00C34053"/>
    <w:rsid w:val="00C34804"/>
    <w:rsid w:val="00C348C6"/>
    <w:rsid w:val="00C35A8F"/>
    <w:rsid w:val="00C35FB3"/>
    <w:rsid w:val="00C35FE1"/>
    <w:rsid w:val="00C36835"/>
    <w:rsid w:val="00C3711A"/>
    <w:rsid w:val="00C37304"/>
    <w:rsid w:val="00C3790C"/>
    <w:rsid w:val="00C37BA4"/>
    <w:rsid w:val="00C37D2C"/>
    <w:rsid w:val="00C37DFB"/>
    <w:rsid w:val="00C37FA6"/>
    <w:rsid w:val="00C40389"/>
    <w:rsid w:val="00C40E6B"/>
    <w:rsid w:val="00C4139D"/>
    <w:rsid w:val="00C4151D"/>
    <w:rsid w:val="00C41542"/>
    <w:rsid w:val="00C4185F"/>
    <w:rsid w:val="00C41B8A"/>
    <w:rsid w:val="00C42037"/>
    <w:rsid w:val="00C426AD"/>
    <w:rsid w:val="00C42892"/>
    <w:rsid w:val="00C4368E"/>
    <w:rsid w:val="00C43843"/>
    <w:rsid w:val="00C43B02"/>
    <w:rsid w:val="00C43B3D"/>
    <w:rsid w:val="00C441A0"/>
    <w:rsid w:val="00C442BE"/>
    <w:rsid w:val="00C44451"/>
    <w:rsid w:val="00C44DFC"/>
    <w:rsid w:val="00C44E22"/>
    <w:rsid w:val="00C44E23"/>
    <w:rsid w:val="00C44F1B"/>
    <w:rsid w:val="00C45203"/>
    <w:rsid w:val="00C455D3"/>
    <w:rsid w:val="00C45BC2"/>
    <w:rsid w:val="00C45BD1"/>
    <w:rsid w:val="00C46401"/>
    <w:rsid w:val="00C465A1"/>
    <w:rsid w:val="00C46662"/>
    <w:rsid w:val="00C4673C"/>
    <w:rsid w:val="00C46A5D"/>
    <w:rsid w:val="00C46BE4"/>
    <w:rsid w:val="00C471F4"/>
    <w:rsid w:val="00C47825"/>
    <w:rsid w:val="00C47EEB"/>
    <w:rsid w:val="00C47F34"/>
    <w:rsid w:val="00C47F60"/>
    <w:rsid w:val="00C47F9A"/>
    <w:rsid w:val="00C5022F"/>
    <w:rsid w:val="00C5054C"/>
    <w:rsid w:val="00C505D3"/>
    <w:rsid w:val="00C509FB"/>
    <w:rsid w:val="00C50EEE"/>
    <w:rsid w:val="00C50F1E"/>
    <w:rsid w:val="00C513AB"/>
    <w:rsid w:val="00C5158B"/>
    <w:rsid w:val="00C5198F"/>
    <w:rsid w:val="00C52E3E"/>
    <w:rsid w:val="00C53238"/>
    <w:rsid w:val="00C5380E"/>
    <w:rsid w:val="00C53D0F"/>
    <w:rsid w:val="00C53F48"/>
    <w:rsid w:val="00C53F91"/>
    <w:rsid w:val="00C541C7"/>
    <w:rsid w:val="00C54DE7"/>
    <w:rsid w:val="00C54EED"/>
    <w:rsid w:val="00C54FAE"/>
    <w:rsid w:val="00C55AEA"/>
    <w:rsid w:val="00C56057"/>
    <w:rsid w:val="00C568AF"/>
    <w:rsid w:val="00C56C59"/>
    <w:rsid w:val="00C5708C"/>
    <w:rsid w:val="00C57D40"/>
    <w:rsid w:val="00C57E8B"/>
    <w:rsid w:val="00C57F69"/>
    <w:rsid w:val="00C601DD"/>
    <w:rsid w:val="00C602C0"/>
    <w:rsid w:val="00C603A6"/>
    <w:rsid w:val="00C60A7F"/>
    <w:rsid w:val="00C60E53"/>
    <w:rsid w:val="00C614DB"/>
    <w:rsid w:val="00C61763"/>
    <w:rsid w:val="00C62092"/>
    <w:rsid w:val="00C621B9"/>
    <w:rsid w:val="00C624F4"/>
    <w:rsid w:val="00C631E4"/>
    <w:rsid w:val="00C6397E"/>
    <w:rsid w:val="00C6398B"/>
    <w:rsid w:val="00C641D3"/>
    <w:rsid w:val="00C6446B"/>
    <w:rsid w:val="00C645EA"/>
    <w:rsid w:val="00C64704"/>
    <w:rsid w:val="00C64930"/>
    <w:rsid w:val="00C64C42"/>
    <w:rsid w:val="00C64F72"/>
    <w:rsid w:val="00C6583F"/>
    <w:rsid w:val="00C65FAD"/>
    <w:rsid w:val="00C660D9"/>
    <w:rsid w:val="00C678C3"/>
    <w:rsid w:val="00C6798A"/>
    <w:rsid w:val="00C67ACB"/>
    <w:rsid w:val="00C67ACC"/>
    <w:rsid w:val="00C67E3F"/>
    <w:rsid w:val="00C70739"/>
    <w:rsid w:val="00C70826"/>
    <w:rsid w:val="00C7097F"/>
    <w:rsid w:val="00C70E6F"/>
    <w:rsid w:val="00C71052"/>
    <w:rsid w:val="00C71189"/>
    <w:rsid w:val="00C71509"/>
    <w:rsid w:val="00C71DDF"/>
    <w:rsid w:val="00C726E4"/>
    <w:rsid w:val="00C72DF6"/>
    <w:rsid w:val="00C72EAC"/>
    <w:rsid w:val="00C7314C"/>
    <w:rsid w:val="00C7345B"/>
    <w:rsid w:val="00C7455F"/>
    <w:rsid w:val="00C74EE1"/>
    <w:rsid w:val="00C75171"/>
    <w:rsid w:val="00C76256"/>
    <w:rsid w:val="00C7668B"/>
    <w:rsid w:val="00C77458"/>
    <w:rsid w:val="00C77710"/>
    <w:rsid w:val="00C7797B"/>
    <w:rsid w:val="00C8028C"/>
    <w:rsid w:val="00C804DF"/>
    <w:rsid w:val="00C806C7"/>
    <w:rsid w:val="00C809F3"/>
    <w:rsid w:val="00C80A60"/>
    <w:rsid w:val="00C81721"/>
    <w:rsid w:val="00C823EB"/>
    <w:rsid w:val="00C82607"/>
    <w:rsid w:val="00C8296F"/>
    <w:rsid w:val="00C82C90"/>
    <w:rsid w:val="00C837B9"/>
    <w:rsid w:val="00C8381E"/>
    <w:rsid w:val="00C844D9"/>
    <w:rsid w:val="00C848C2"/>
    <w:rsid w:val="00C84AEA"/>
    <w:rsid w:val="00C84B9C"/>
    <w:rsid w:val="00C84EC3"/>
    <w:rsid w:val="00C84FA9"/>
    <w:rsid w:val="00C8559A"/>
    <w:rsid w:val="00C856FB"/>
    <w:rsid w:val="00C857B5"/>
    <w:rsid w:val="00C85A18"/>
    <w:rsid w:val="00C8628B"/>
    <w:rsid w:val="00C86A1D"/>
    <w:rsid w:val="00C87A6E"/>
    <w:rsid w:val="00C87C80"/>
    <w:rsid w:val="00C90B27"/>
    <w:rsid w:val="00C916F3"/>
    <w:rsid w:val="00C91E0B"/>
    <w:rsid w:val="00C924F0"/>
    <w:rsid w:val="00C92789"/>
    <w:rsid w:val="00C92B3E"/>
    <w:rsid w:val="00C92C94"/>
    <w:rsid w:val="00C92CEC"/>
    <w:rsid w:val="00C92E43"/>
    <w:rsid w:val="00C9390F"/>
    <w:rsid w:val="00C93AB0"/>
    <w:rsid w:val="00C9400C"/>
    <w:rsid w:val="00C94237"/>
    <w:rsid w:val="00C94570"/>
    <w:rsid w:val="00C94A40"/>
    <w:rsid w:val="00C957CB"/>
    <w:rsid w:val="00C95BF1"/>
    <w:rsid w:val="00C95CC3"/>
    <w:rsid w:val="00C96203"/>
    <w:rsid w:val="00C96B5C"/>
    <w:rsid w:val="00C979FB"/>
    <w:rsid w:val="00C97DB1"/>
    <w:rsid w:val="00C97ED5"/>
    <w:rsid w:val="00CA0055"/>
    <w:rsid w:val="00CA03C7"/>
    <w:rsid w:val="00CA095E"/>
    <w:rsid w:val="00CA0A0C"/>
    <w:rsid w:val="00CA0C99"/>
    <w:rsid w:val="00CA1068"/>
    <w:rsid w:val="00CA29AB"/>
    <w:rsid w:val="00CA2A47"/>
    <w:rsid w:val="00CA2CE8"/>
    <w:rsid w:val="00CA2D37"/>
    <w:rsid w:val="00CA2F24"/>
    <w:rsid w:val="00CA357A"/>
    <w:rsid w:val="00CA46E6"/>
    <w:rsid w:val="00CA6143"/>
    <w:rsid w:val="00CA6969"/>
    <w:rsid w:val="00CA6D01"/>
    <w:rsid w:val="00CA7205"/>
    <w:rsid w:val="00CA7DEA"/>
    <w:rsid w:val="00CA7EA4"/>
    <w:rsid w:val="00CB0680"/>
    <w:rsid w:val="00CB18F1"/>
    <w:rsid w:val="00CB1A1C"/>
    <w:rsid w:val="00CB2773"/>
    <w:rsid w:val="00CB2B7F"/>
    <w:rsid w:val="00CB32A9"/>
    <w:rsid w:val="00CB341C"/>
    <w:rsid w:val="00CB37D2"/>
    <w:rsid w:val="00CB386F"/>
    <w:rsid w:val="00CB3A56"/>
    <w:rsid w:val="00CB3BAA"/>
    <w:rsid w:val="00CB4AAE"/>
    <w:rsid w:val="00CB4B1A"/>
    <w:rsid w:val="00CB4E61"/>
    <w:rsid w:val="00CB5343"/>
    <w:rsid w:val="00CB5A77"/>
    <w:rsid w:val="00CB6739"/>
    <w:rsid w:val="00CB684C"/>
    <w:rsid w:val="00CB6A13"/>
    <w:rsid w:val="00CC076F"/>
    <w:rsid w:val="00CC097B"/>
    <w:rsid w:val="00CC0CFD"/>
    <w:rsid w:val="00CC1693"/>
    <w:rsid w:val="00CC1F02"/>
    <w:rsid w:val="00CC1F07"/>
    <w:rsid w:val="00CC2378"/>
    <w:rsid w:val="00CC250E"/>
    <w:rsid w:val="00CC29AE"/>
    <w:rsid w:val="00CC2B71"/>
    <w:rsid w:val="00CC3108"/>
    <w:rsid w:val="00CC3635"/>
    <w:rsid w:val="00CC3AEA"/>
    <w:rsid w:val="00CC3B06"/>
    <w:rsid w:val="00CC4189"/>
    <w:rsid w:val="00CC440E"/>
    <w:rsid w:val="00CC45FC"/>
    <w:rsid w:val="00CC4CDC"/>
    <w:rsid w:val="00CC54BA"/>
    <w:rsid w:val="00CC58C3"/>
    <w:rsid w:val="00CC6833"/>
    <w:rsid w:val="00CC7A38"/>
    <w:rsid w:val="00CD0124"/>
    <w:rsid w:val="00CD0477"/>
    <w:rsid w:val="00CD06C9"/>
    <w:rsid w:val="00CD08C4"/>
    <w:rsid w:val="00CD0CA7"/>
    <w:rsid w:val="00CD0E84"/>
    <w:rsid w:val="00CD16AB"/>
    <w:rsid w:val="00CD1BD5"/>
    <w:rsid w:val="00CD2104"/>
    <w:rsid w:val="00CD2187"/>
    <w:rsid w:val="00CD259D"/>
    <w:rsid w:val="00CD25D9"/>
    <w:rsid w:val="00CD3446"/>
    <w:rsid w:val="00CD34D3"/>
    <w:rsid w:val="00CD382D"/>
    <w:rsid w:val="00CD393D"/>
    <w:rsid w:val="00CD4086"/>
    <w:rsid w:val="00CD46C4"/>
    <w:rsid w:val="00CD48A1"/>
    <w:rsid w:val="00CD4FF1"/>
    <w:rsid w:val="00CD51C0"/>
    <w:rsid w:val="00CD5ABC"/>
    <w:rsid w:val="00CD6381"/>
    <w:rsid w:val="00CD6A4F"/>
    <w:rsid w:val="00CD6B5D"/>
    <w:rsid w:val="00CD6D2E"/>
    <w:rsid w:val="00CD759D"/>
    <w:rsid w:val="00CD7D43"/>
    <w:rsid w:val="00CE04CE"/>
    <w:rsid w:val="00CE0591"/>
    <w:rsid w:val="00CE0698"/>
    <w:rsid w:val="00CE0BB3"/>
    <w:rsid w:val="00CE0DB9"/>
    <w:rsid w:val="00CE1503"/>
    <w:rsid w:val="00CE193C"/>
    <w:rsid w:val="00CE197F"/>
    <w:rsid w:val="00CE1A75"/>
    <w:rsid w:val="00CE1C7E"/>
    <w:rsid w:val="00CE1FEF"/>
    <w:rsid w:val="00CE2068"/>
    <w:rsid w:val="00CE250C"/>
    <w:rsid w:val="00CE2798"/>
    <w:rsid w:val="00CE2955"/>
    <w:rsid w:val="00CE3F33"/>
    <w:rsid w:val="00CE45E8"/>
    <w:rsid w:val="00CE49AC"/>
    <w:rsid w:val="00CE52C5"/>
    <w:rsid w:val="00CE5606"/>
    <w:rsid w:val="00CE5B97"/>
    <w:rsid w:val="00CE5F62"/>
    <w:rsid w:val="00CE62CC"/>
    <w:rsid w:val="00CE6612"/>
    <w:rsid w:val="00CE67AA"/>
    <w:rsid w:val="00CE6F4F"/>
    <w:rsid w:val="00CE7286"/>
    <w:rsid w:val="00CE7865"/>
    <w:rsid w:val="00CE78AA"/>
    <w:rsid w:val="00CF0154"/>
    <w:rsid w:val="00CF0516"/>
    <w:rsid w:val="00CF0908"/>
    <w:rsid w:val="00CF1A55"/>
    <w:rsid w:val="00CF1AC6"/>
    <w:rsid w:val="00CF1C28"/>
    <w:rsid w:val="00CF2134"/>
    <w:rsid w:val="00CF2A17"/>
    <w:rsid w:val="00CF2C38"/>
    <w:rsid w:val="00CF2C4D"/>
    <w:rsid w:val="00CF3151"/>
    <w:rsid w:val="00CF3692"/>
    <w:rsid w:val="00CF3714"/>
    <w:rsid w:val="00CF3B4B"/>
    <w:rsid w:val="00CF3CFF"/>
    <w:rsid w:val="00CF3E5B"/>
    <w:rsid w:val="00CF4054"/>
    <w:rsid w:val="00CF44C6"/>
    <w:rsid w:val="00CF5BBD"/>
    <w:rsid w:val="00CF5F81"/>
    <w:rsid w:val="00CF61AC"/>
    <w:rsid w:val="00CF6EF2"/>
    <w:rsid w:val="00CF73A1"/>
    <w:rsid w:val="00CF74BD"/>
    <w:rsid w:val="00CF7785"/>
    <w:rsid w:val="00CF784F"/>
    <w:rsid w:val="00D00115"/>
    <w:rsid w:val="00D00CC5"/>
    <w:rsid w:val="00D01146"/>
    <w:rsid w:val="00D013DE"/>
    <w:rsid w:val="00D019CF"/>
    <w:rsid w:val="00D01C67"/>
    <w:rsid w:val="00D02192"/>
    <w:rsid w:val="00D028EC"/>
    <w:rsid w:val="00D02DB4"/>
    <w:rsid w:val="00D02E97"/>
    <w:rsid w:val="00D03182"/>
    <w:rsid w:val="00D0361C"/>
    <w:rsid w:val="00D03A5C"/>
    <w:rsid w:val="00D03C3A"/>
    <w:rsid w:val="00D040B8"/>
    <w:rsid w:val="00D041BF"/>
    <w:rsid w:val="00D042BF"/>
    <w:rsid w:val="00D048E4"/>
    <w:rsid w:val="00D05275"/>
    <w:rsid w:val="00D052EF"/>
    <w:rsid w:val="00D058FF"/>
    <w:rsid w:val="00D05B7B"/>
    <w:rsid w:val="00D05E03"/>
    <w:rsid w:val="00D061DB"/>
    <w:rsid w:val="00D061E9"/>
    <w:rsid w:val="00D06361"/>
    <w:rsid w:val="00D064E8"/>
    <w:rsid w:val="00D065FF"/>
    <w:rsid w:val="00D06B55"/>
    <w:rsid w:val="00D0764F"/>
    <w:rsid w:val="00D07977"/>
    <w:rsid w:val="00D07A96"/>
    <w:rsid w:val="00D10BA2"/>
    <w:rsid w:val="00D10F02"/>
    <w:rsid w:val="00D113F8"/>
    <w:rsid w:val="00D11571"/>
    <w:rsid w:val="00D11671"/>
    <w:rsid w:val="00D11758"/>
    <w:rsid w:val="00D11DB0"/>
    <w:rsid w:val="00D11DFF"/>
    <w:rsid w:val="00D1277E"/>
    <w:rsid w:val="00D12DC6"/>
    <w:rsid w:val="00D130AD"/>
    <w:rsid w:val="00D136A6"/>
    <w:rsid w:val="00D13A84"/>
    <w:rsid w:val="00D13AD7"/>
    <w:rsid w:val="00D13E8A"/>
    <w:rsid w:val="00D14015"/>
    <w:rsid w:val="00D14554"/>
    <w:rsid w:val="00D14DEF"/>
    <w:rsid w:val="00D14FFC"/>
    <w:rsid w:val="00D152AB"/>
    <w:rsid w:val="00D1562E"/>
    <w:rsid w:val="00D15663"/>
    <w:rsid w:val="00D159AD"/>
    <w:rsid w:val="00D15A26"/>
    <w:rsid w:val="00D15E7C"/>
    <w:rsid w:val="00D15E8B"/>
    <w:rsid w:val="00D1671C"/>
    <w:rsid w:val="00D16E07"/>
    <w:rsid w:val="00D17A27"/>
    <w:rsid w:val="00D2059C"/>
    <w:rsid w:val="00D2132E"/>
    <w:rsid w:val="00D213B3"/>
    <w:rsid w:val="00D21F3C"/>
    <w:rsid w:val="00D22741"/>
    <w:rsid w:val="00D22AB1"/>
    <w:rsid w:val="00D22C79"/>
    <w:rsid w:val="00D23ABB"/>
    <w:rsid w:val="00D2415A"/>
    <w:rsid w:val="00D242EE"/>
    <w:rsid w:val="00D24EA6"/>
    <w:rsid w:val="00D253C7"/>
    <w:rsid w:val="00D25F35"/>
    <w:rsid w:val="00D2670B"/>
    <w:rsid w:val="00D26B5B"/>
    <w:rsid w:val="00D309FD"/>
    <w:rsid w:val="00D30F92"/>
    <w:rsid w:val="00D31836"/>
    <w:rsid w:val="00D31CE7"/>
    <w:rsid w:val="00D31D1B"/>
    <w:rsid w:val="00D323E2"/>
    <w:rsid w:val="00D32A3C"/>
    <w:rsid w:val="00D32B63"/>
    <w:rsid w:val="00D3323B"/>
    <w:rsid w:val="00D33B87"/>
    <w:rsid w:val="00D33CCB"/>
    <w:rsid w:val="00D3403D"/>
    <w:rsid w:val="00D34561"/>
    <w:rsid w:val="00D34D50"/>
    <w:rsid w:val="00D35AA9"/>
    <w:rsid w:val="00D35AD0"/>
    <w:rsid w:val="00D35EEC"/>
    <w:rsid w:val="00D35FA0"/>
    <w:rsid w:val="00D3608C"/>
    <w:rsid w:val="00D361D1"/>
    <w:rsid w:val="00D36BD9"/>
    <w:rsid w:val="00D36F64"/>
    <w:rsid w:val="00D37042"/>
    <w:rsid w:val="00D376F1"/>
    <w:rsid w:val="00D37B21"/>
    <w:rsid w:val="00D37D1D"/>
    <w:rsid w:val="00D40671"/>
    <w:rsid w:val="00D4074B"/>
    <w:rsid w:val="00D408BA"/>
    <w:rsid w:val="00D416F4"/>
    <w:rsid w:val="00D41A69"/>
    <w:rsid w:val="00D41B50"/>
    <w:rsid w:val="00D41B9B"/>
    <w:rsid w:val="00D4227D"/>
    <w:rsid w:val="00D423F1"/>
    <w:rsid w:val="00D424BE"/>
    <w:rsid w:val="00D424F7"/>
    <w:rsid w:val="00D42724"/>
    <w:rsid w:val="00D42D18"/>
    <w:rsid w:val="00D43662"/>
    <w:rsid w:val="00D43DCE"/>
    <w:rsid w:val="00D43F6A"/>
    <w:rsid w:val="00D44175"/>
    <w:rsid w:val="00D442DC"/>
    <w:rsid w:val="00D446FA"/>
    <w:rsid w:val="00D447AC"/>
    <w:rsid w:val="00D44868"/>
    <w:rsid w:val="00D4498B"/>
    <w:rsid w:val="00D45287"/>
    <w:rsid w:val="00D453EA"/>
    <w:rsid w:val="00D4551A"/>
    <w:rsid w:val="00D457D4"/>
    <w:rsid w:val="00D465DA"/>
    <w:rsid w:val="00D4669F"/>
    <w:rsid w:val="00D46A08"/>
    <w:rsid w:val="00D46A79"/>
    <w:rsid w:val="00D46F4F"/>
    <w:rsid w:val="00D46F89"/>
    <w:rsid w:val="00D472AE"/>
    <w:rsid w:val="00D477FA"/>
    <w:rsid w:val="00D47AFD"/>
    <w:rsid w:val="00D502E3"/>
    <w:rsid w:val="00D5109E"/>
    <w:rsid w:val="00D51298"/>
    <w:rsid w:val="00D51367"/>
    <w:rsid w:val="00D5186F"/>
    <w:rsid w:val="00D51C09"/>
    <w:rsid w:val="00D51E43"/>
    <w:rsid w:val="00D52477"/>
    <w:rsid w:val="00D52905"/>
    <w:rsid w:val="00D52AF3"/>
    <w:rsid w:val="00D52B18"/>
    <w:rsid w:val="00D54145"/>
    <w:rsid w:val="00D54DA0"/>
    <w:rsid w:val="00D5606A"/>
    <w:rsid w:val="00D56313"/>
    <w:rsid w:val="00D56AF5"/>
    <w:rsid w:val="00D574B3"/>
    <w:rsid w:val="00D576D2"/>
    <w:rsid w:val="00D6013C"/>
    <w:rsid w:val="00D603AE"/>
    <w:rsid w:val="00D60918"/>
    <w:rsid w:val="00D60AF9"/>
    <w:rsid w:val="00D61279"/>
    <w:rsid w:val="00D61786"/>
    <w:rsid w:val="00D61A70"/>
    <w:rsid w:val="00D62A59"/>
    <w:rsid w:val="00D63522"/>
    <w:rsid w:val="00D638AE"/>
    <w:rsid w:val="00D63DE9"/>
    <w:rsid w:val="00D64691"/>
    <w:rsid w:val="00D646A4"/>
    <w:rsid w:val="00D65485"/>
    <w:rsid w:val="00D654B1"/>
    <w:rsid w:val="00D66006"/>
    <w:rsid w:val="00D66022"/>
    <w:rsid w:val="00D66441"/>
    <w:rsid w:val="00D66991"/>
    <w:rsid w:val="00D66B88"/>
    <w:rsid w:val="00D66D3A"/>
    <w:rsid w:val="00D66EE4"/>
    <w:rsid w:val="00D67404"/>
    <w:rsid w:val="00D6742A"/>
    <w:rsid w:val="00D67923"/>
    <w:rsid w:val="00D7014F"/>
    <w:rsid w:val="00D703DE"/>
    <w:rsid w:val="00D70886"/>
    <w:rsid w:val="00D70E19"/>
    <w:rsid w:val="00D7134C"/>
    <w:rsid w:val="00D71356"/>
    <w:rsid w:val="00D715AB"/>
    <w:rsid w:val="00D7162E"/>
    <w:rsid w:val="00D71773"/>
    <w:rsid w:val="00D719C5"/>
    <w:rsid w:val="00D71D6C"/>
    <w:rsid w:val="00D72812"/>
    <w:rsid w:val="00D72EA1"/>
    <w:rsid w:val="00D731F8"/>
    <w:rsid w:val="00D7325E"/>
    <w:rsid w:val="00D73360"/>
    <w:rsid w:val="00D7370E"/>
    <w:rsid w:val="00D741A9"/>
    <w:rsid w:val="00D7492A"/>
    <w:rsid w:val="00D74C44"/>
    <w:rsid w:val="00D750FA"/>
    <w:rsid w:val="00D75A51"/>
    <w:rsid w:val="00D75CE4"/>
    <w:rsid w:val="00D76942"/>
    <w:rsid w:val="00D777A3"/>
    <w:rsid w:val="00D77CF6"/>
    <w:rsid w:val="00D77FFD"/>
    <w:rsid w:val="00D80312"/>
    <w:rsid w:val="00D805AF"/>
    <w:rsid w:val="00D806ED"/>
    <w:rsid w:val="00D80921"/>
    <w:rsid w:val="00D80A6A"/>
    <w:rsid w:val="00D80AAA"/>
    <w:rsid w:val="00D81A7F"/>
    <w:rsid w:val="00D82393"/>
    <w:rsid w:val="00D82411"/>
    <w:rsid w:val="00D827E6"/>
    <w:rsid w:val="00D8294C"/>
    <w:rsid w:val="00D82C2D"/>
    <w:rsid w:val="00D83505"/>
    <w:rsid w:val="00D835C3"/>
    <w:rsid w:val="00D83A30"/>
    <w:rsid w:val="00D83D89"/>
    <w:rsid w:val="00D83E9C"/>
    <w:rsid w:val="00D84E72"/>
    <w:rsid w:val="00D84FA9"/>
    <w:rsid w:val="00D868C3"/>
    <w:rsid w:val="00D8691A"/>
    <w:rsid w:val="00D8698B"/>
    <w:rsid w:val="00D87297"/>
    <w:rsid w:val="00D8739F"/>
    <w:rsid w:val="00D876AA"/>
    <w:rsid w:val="00D900AD"/>
    <w:rsid w:val="00D90579"/>
    <w:rsid w:val="00D91687"/>
    <w:rsid w:val="00D916AA"/>
    <w:rsid w:val="00D922C6"/>
    <w:rsid w:val="00D923AD"/>
    <w:rsid w:val="00D9291B"/>
    <w:rsid w:val="00D92A5C"/>
    <w:rsid w:val="00D930A8"/>
    <w:rsid w:val="00D93E28"/>
    <w:rsid w:val="00D93FAF"/>
    <w:rsid w:val="00D94262"/>
    <w:rsid w:val="00D942AD"/>
    <w:rsid w:val="00D944A6"/>
    <w:rsid w:val="00D947F3"/>
    <w:rsid w:val="00D9488F"/>
    <w:rsid w:val="00D94BFF"/>
    <w:rsid w:val="00D951A7"/>
    <w:rsid w:val="00D95C84"/>
    <w:rsid w:val="00D95D77"/>
    <w:rsid w:val="00D960B9"/>
    <w:rsid w:val="00D9625D"/>
    <w:rsid w:val="00D9626B"/>
    <w:rsid w:val="00D964A9"/>
    <w:rsid w:val="00D96A01"/>
    <w:rsid w:val="00D96AD4"/>
    <w:rsid w:val="00D96F64"/>
    <w:rsid w:val="00D97462"/>
    <w:rsid w:val="00D97930"/>
    <w:rsid w:val="00DA021C"/>
    <w:rsid w:val="00DA0A49"/>
    <w:rsid w:val="00DA23F9"/>
    <w:rsid w:val="00DA2B9B"/>
    <w:rsid w:val="00DA2BB3"/>
    <w:rsid w:val="00DA37E7"/>
    <w:rsid w:val="00DA3806"/>
    <w:rsid w:val="00DA3FEC"/>
    <w:rsid w:val="00DA41A4"/>
    <w:rsid w:val="00DA4203"/>
    <w:rsid w:val="00DA4813"/>
    <w:rsid w:val="00DA49F6"/>
    <w:rsid w:val="00DA542D"/>
    <w:rsid w:val="00DA5508"/>
    <w:rsid w:val="00DA5B8B"/>
    <w:rsid w:val="00DA5FF6"/>
    <w:rsid w:val="00DA644F"/>
    <w:rsid w:val="00DA68FD"/>
    <w:rsid w:val="00DA6A1E"/>
    <w:rsid w:val="00DA6FE8"/>
    <w:rsid w:val="00DA7302"/>
    <w:rsid w:val="00DA7473"/>
    <w:rsid w:val="00DA7535"/>
    <w:rsid w:val="00DA763B"/>
    <w:rsid w:val="00DA7737"/>
    <w:rsid w:val="00DA7762"/>
    <w:rsid w:val="00DA7C2E"/>
    <w:rsid w:val="00DB03D0"/>
    <w:rsid w:val="00DB1042"/>
    <w:rsid w:val="00DB15AA"/>
    <w:rsid w:val="00DB1FA2"/>
    <w:rsid w:val="00DB2584"/>
    <w:rsid w:val="00DB2887"/>
    <w:rsid w:val="00DB2D98"/>
    <w:rsid w:val="00DB32D5"/>
    <w:rsid w:val="00DB3545"/>
    <w:rsid w:val="00DB3F30"/>
    <w:rsid w:val="00DB3FCD"/>
    <w:rsid w:val="00DB4072"/>
    <w:rsid w:val="00DB447F"/>
    <w:rsid w:val="00DB44C7"/>
    <w:rsid w:val="00DB46BE"/>
    <w:rsid w:val="00DB47DC"/>
    <w:rsid w:val="00DB49DE"/>
    <w:rsid w:val="00DB5003"/>
    <w:rsid w:val="00DB5094"/>
    <w:rsid w:val="00DB559E"/>
    <w:rsid w:val="00DB5767"/>
    <w:rsid w:val="00DB58E3"/>
    <w:rsid w:val="00DB5C72"/>
    <w:rsid w:val="00DB5FC4"/>
    <w:rsid w:val="00DB632A"/>
    <w:rsid w:val="00DB6CE8"/>
    <w:rsid w:val="00DB6DF6"/>
    <w:rsid w:val="00DB706C"/>
    <w:rsid w:val="00DB7260"/>
    <w:rsid w:val="00DB7379"/>
    <w:rsid w:val="00DB7490"/>
    <w:rsid w:val="00DB77D2"/>
    <w:rsid w:val="00DB781B"/>
    <w:rsid w:val="00DC0BA2"/>
    <w:rsid w:val="00DC0E5C"/>
    <w:rsid w:val="00DC136A"/>
    <w:rsid w:val="00DC1B3D"/>
    <w:rsid w:val="00DC1EAF"/>
    <w:rsid w:val="00DC218F"/>
    <w:rsid w:val="00DC2575"/>
    <w:rsid w:val="00DC2850"/>
    <w:rsid w:val="00DC2A65"/>
    <w:rsid w:val="00DC2E13"/>
    <w:rsid w:val="00DC306F"/>
    <w:rsid w:val="00DC3293"/>
    <w:rsid w:val="00DC3483"/>
    <w:rsid w:val="00DC40D6"/>
    <w:rsid w:val="00DC484B"/>
    <w:rsid w:val="00DC4A8C"/>
    <w:rsid w:val="00DC56A2"/>
    <w:rsid w:val="00DC5B61"/>
    <w:rsid w:val="00DC5BB4"/>
    <w:rsid w:val="00DC5F81"/>
    <w:rsid w:val="00DC6169"/>
    <w:rsid w:val="00DC6354"/>
    <w:rsid w:val="00DC6A6F"/>
    <w:rsid w:val="00DC7442"/>
    <w:rsid w:val="00DC7548"/>
    <w:rsid w:val="00DC7CD6"/>
    <w:rsid w:val="00DD0C03"/>
    <w:rsid w:val="00DD0C33"/>
    <w:rsid w:val="00DD0E9B"/>
    <w:rsid w:val="00DD11AC"/>
    <w:rsid w:val="00DD15D6"/>
    <w:rsid w:val="00DD24E6"/>
    <w:rsid w:val="00DD2687"/>
    <w:rsid w:val="00DD275A"/>
    <w:rsid w:val="00DD2893"/>
    <w:rsid w:val="00DD2922"/>
    <w:rsid w:val="00DD3138"/>
    <w:rsid w:val="00DD363D"/>
    <w:rsid w:val="00DD368C"/>
    <w:rsid w:val="00DD3FDD"/>
    <w:rsid w:val="00DD408D"/>
    <w:rsid w:val="00DD442A"/>
    <w:rsid w:val="00DD49C1"/>
    <w:rsid w:val="00DD51DE"/>
    <w:rsid w:val="00DD574B"/>
    <w:rsid w:val="00DD588D"/>
    <w:rsid w:val="00DD5B10"/>
    <w:rsid w:val="00DD5B47"/>
    <w:rsid w:val="00DD6572"/>
    <w:rsid w:val="00DD69FC"/>
    <w:rsid w:val="00DD6C17"/>
    <w:rsid w:val="00DD6E4F"/>
    <w:rsid w:val="00DD79DF"/>
    <w:rsid w:val="00DE12F3"/>
    <w:rsid w:val="00DE1C38"/>
    <w:rsid w:val="00DE28A6"/>
    <w:rsid w:val="00DE2AC0"/>
    <w:rsid w:val="00DE2F89"/>
    <w:rsid w:val="00DE3527"/>
    <w:rsid w:val="00DE365D"/>
    <w:rsid w:val="00DE36DC"/>
    <w:rsid w:val="00DE37E6"/>
    <w:rsid w:val="00DE3928"/>
    <w:rsid w:val="00DE398B"/>
    <w:rsid w:val="00DE3B1C"/>
    <w:rsid w:val="00DE4939"/>
    <w:rsid w:val="00DE4C5A"/>
    <w:rsid w:val="00DE50FB"/>
    <w:rsid w:val="00DE536C"/>
    <w:rsid w:val="00DE58E2"/>
    <w:rsid w:val="00DE59D8"/>
    <w:rsid w:val="00DE6FD6"/>
    <w:rsid w:val="00DE720F"/>
    <w:rsid w:val="00DE746A"/>
    <w:rsid w:val="00DE76BE"/>
    <w:rsid w:val="00DE771F"/>
    <w:rsid w:val="00DE785E"/>
    <w:rsid w:val="00DF0044"/>
    <w:rsid w:val="00DF095C"/>
    <w:rsid w:val="00DF09B5"/>
    <w:rsid w:val="00DF0AA9"/>
    <w:rsid w:val="00DF167E"/>
    <w:rsid w:val="00DF1C20"/>
    <w:rsid w:val="00DF1E6E"/>
    <w:rsid w:val="00DF1F09"/>
    <w:rsid w:val="00DF2098"/>
    <w:rsid w:val="00DF23D0"/>
    <w:rsid w:val="00DF2C23"/>
    <w:rsid w:val="00DF3810"/>
    <w:rsid w:val="00DF3B6E"/>
    <w:rsid w:val="00DF3F9C"/>
    <w:rsid w:val="00DF4832"/>
    <w:rsid w:val="00DF48CD"/>
    <w:rsid w:val="00DF5C6A"/>
    <w:rsid w:val="00DF5D9E"/>
    <w:rsid w:val="00DF65FE"/>
    <w:rsid w:val="00DF6AE9"/>
    <w:rsid w:val="00DF6CB3"/>
    <w:rsid w:val="00DF7134"/>
    <w:rsid w:val="00DF7255"/>
    <w:rsid w:val="00DF73D8"/>
    <w:rsid w:val="00DF755F"/>
    <w:rsid w:val="00DF7A8D"/>
    <w:rsid w:val="00DF7FA2"/>
    <w:rsid w:val="00E00571"/>
    <w:rsid w:val="00E005FB"/>
    <w:rsid w:val="00E00991"/>
    <w:rsid w:val="00E00A52"/>
    <w:rsid w:val="00E00BE2"/>
    <w:rsid w:val="00E0174D"/>
    <w:rsid w:val="00E02BD5"/>
    <w:rsid w:val="00E02BEE"/>
    <w:rsid w:val="00E02D6B"/>
    <w:rsid w:val="00E035F4"/>
    <w:rsid w:val="00E03CE5"/>
    <w:rsid w:val="00E03F7C"/>
    <w:rsid w:val="00E04B9E"/>
    <w:rsid w:val="00E050DB"/>
    <w:rsid w:val="00E0529E"/>
    <w:rsid w:val="00E0533B"/>
    <w:rsid w:val="00E05658"/>
    <w:rsid w:val="00E05CE6"/>
    <w:rsid w:val="00E05CE7"/>
    <w:rsid w:val="00E0600D"/>
    <w:rsid w:val="00E0657A"/>
    <w:rsid w:val="00E069B6"/>
    <w:rsid w:val="00E07180"/>
    <w:rsid w:val="00E071BC"/>
    <w:rsid w:val="00E073F0"/>
    <w:rsid w:val="00E0789E"/>
    <w:rsid w:val="00E07C7D"/>
    <w:rsid w:val="00E07CAD"/>
    <w:rsid w:val="00E108EB"/>
    <w:rsid w:val="00E108EF"/>
    <w:rsid w:val="00E109F0"/>
    <w:rsid w:val="00E10E54"/>
    <w:rsid w:val="00E11BEF"/>
    <w:rsid w:val="00E11CB4"/>
    <w:rsid w:val="00E11DB7"/>
    <w:rsid w:val="00E11E49"/>
    <w:rsid w:val="00E1263C"/>
    <w:rsid w:val="00E1301F"/>
    <w:rsid w:val="00E130B2"/>
    <w:rsid w:val="00E13419"/>
    <w:rsid w:val="00E137D6"/>
    <w:rsid w:val="00E13BDE"/>
    <w:rsid w:val="00E13F11"/>
    <w:rsid w:val="00E14661"/>
    <w:rsid w:val="00E1511E"/>
    <w:rsid w:val="00E151D5"/>
    <w:rsid w:val="00E15827"/>
    <w:rsid w:val="00E15F93"/>
    <w:rsid w:val="00E1620D"/>
    <w:rsid w:val="00E16E17"/>
    <w:rsid w:val="00E17363"/>
    <w:rsid w:val="00E17438"/>
    <w:rsid w:val="00E176FD"/>
    <w:rsid w:val="00E17CC7"/>
    <w:rsid w:val="00E2074A"/>
    <w:rsid w:val="00E21C76"/>
    <w:rsid w:val="00E21D03"/>
    <w:rsid w:val="00E228EF"/>
    <w:rsid w:val="00E22F76"/>
    <w:rsid w:val="00E23257"/>
    <w:rsid w:val="00E23506"/>
    <w:rsid w:val="00E23BC9"/>
    <w:rsid w:val="00E23DFF"/>
    <w:rsid w:val="00E23F36"/>
    <w:rsid w:val="00E24270"/>
    <w:rsid w:val="00E24319"/>
    <w:rsid w:val="00E24644"/>
    <w:rsid w:val="00E247B8"/>
    <w:rsid w:val="00E24C16"/>
    <w:rsid w:val="00E2528F"/>
    <w:rsid w:val="00E253F6"/>
    <w:rsid w:val="00E257F8"/>
    <w:rsid w:val="00E26020"/>
    <w:rsid w:val="00E26313"/>
    <w:rsid w:val="00E264D4"/>
    <w:rsid w:val="00E26EB6"/>
    <w:rsid w:val="00E27189"/>
    <w:rsid w:val="00E27EAD"/>
    <w:rsid w:val="00E32795"/>
    <w:rsid w:val="00E32964"/>
    <w:rsid w:val="00E330E1"/>
    <w:rsid w:val="00E33A8D"/>
    <w:rsid w:val="00E33BAC"/>
    <w:rsid w:val="00E33D7D"/>
    <w:rsid w:val="00E341FF"/>
    <w:rsid w:val="00E34328"/>
    <w:rsid w:val="00E3498C"/>
    <w:rsid w:val="00E34D90"/>
    <w:rsid w:val="00E35069"/>
    <w:rsid w:val="00E3575E"/>
    <w:rsid w:val="00E35965"/>
    <w:rsid w:val="00E359E3"/>
    <w:rsid w:val="00E35B04"/>
    <w:rsid w:val="00E35FD5"/>
    <w:rsid w:val="00E36569"/>
    <w:rsid w:val="00E36A2F"/>
    <w:rsid w:val="00E36AF3"/>
    <w:rsid w:val="00E36E4D"/>
    <w:rsid w:val="00E3708D"/>
    <w:rsid w:val="00E375C0"/>
    <w:rsid w:val="00E4006D"/>
    <w:rsid w:val="00E4021C"/>
    <w:rsid w:val="00E40536"/>
    <w:rsid w:val="00E40550"/>
    <w:rsid w:val="00E41025"/>
    <w:rsid w:val="00E41105"/>
    <w:rsid w:val="00E41B39"/>
    <w:rsid w:val="00E427EB"/>
    <w:rsid w:val="00E42DF1"/>
    <w:rsid w:val="00E43039"/>
    <w:rsid w:val="00E4356F"/>
    <w:rsid w:val="00E439D1"/>
    <w:rsid w:val="00E43F53"/>
    <w:rsid w:val="00E4479E"/>
    <w:rsid w:val="00E449AC"/>
    <w:rsid w:val="00E44A76"/>
    <w:rsid w:val="00E44DE5"/>
    <w:rsid w:val="00E45FD7"/>
    <w:rsid w:val="00E46179"/>
    <w:rsid w:val="00E47512"/>
    <w:rsid w:val="00E47A66"/>
    <w:rsid w:val="00E47ADE"/>
    <w:rsid w:val="00E47EFA"/>
    <w:rsid w:val="00E503E0"/>
    <w:rsid w:val="00E50783"/>
    <w:rsid w:val="00E51376"/>
    <w:rsid w:val="00E51427"/>
    <w:rsid w:val="00E519DB"/>
    <w:rsid w:val="00E51B35"/>
    <w:rsid w:val="00E5216C"/>
    <w:rsid w:val="00E5246D"/>
    <w:rsid w:val="00E52761"/>
    <w:rsid w:val="00E5308B"/>
    <w:rsid w:val="00E530F6"/>
    <w:rsid w:val="00E53BAA"/>
    <w:rsid w:val="00E53E2E"/>
    <w:rsid w:val="00E53FCF"/>
    <w:rsid w:val="00E53FEA"/>
    <w:rsid w:val="00E542BF"/>
    <w:rsid w:val="00E54977"/>
    <w:rsid w:val="00E549F6"/>
    <w:rsid w:val="00E54F91"/>
    <w:rsid w:val="00E55C04"/>
    <w:rsid w:val="00E55FF2"/>
    <w:rsid w:val="00E5606C"/>
    <w:rsid w:val="00E569F0"/>
    <w:rsid w:val="00E571E1"/>
    <w:rsid w:val="00E574A7"/>
    <w:rsid w:val="00E57730"/>
    <w:rsid w:val="00E608B4"/>
    <w:rsid w:val="00E613C0"/>
    <w:rsid w:val="00E61F69"/>
    <w:rsid w:val="00E62A96"/>
    <w:rsid w:val="00E62FFB"/>
    <w:rsid w:val="00E633C2"/>
    <w:rsid w:val="00E63605"/>
    <w:rsid w:val="00E63940"/>
    <w:rsid w:val="00E645F5"/>
    <w:rsid w:val="00E648A5"/>
    <w:rsid w:val="00E64DC5"/>
    <w:rsid w:val="00E6597F"/>
    <w:rsid w:val="00E65D46"/>
    <w:rsid w:val="00E65F10"/>
    <w:rsid w:val="00E6695B"/>
    <w:rsid w:val="00E66C39"/>
    <w:rsid w:val="00E66D24"/>
    <w:rsid w:val="00E673B3"/>
    <w:rsid w:val="00E67A5D"/>
    <w:rsid w:val="00E67C3F"/>
    <w:rsid w:val="00E67EB6"/>
    <w:rsid w:val="00E708CB"/>
    <w:rsid w:val="00E70AF0"/>
    <w:rsid w:val="00E70F69"/>
    <w:rsid w:val="00E71434"/>
    <w:rsid w:val="00E717B8"/>
    <w:rsid w:val="00E71AE7"/>
    <w:rsid w:val="00E71BAE"/>
    <w:rsid w:val="00E72229"/>
    <w:rsid w:val="00E72568"/>
    <w:rsid w:val="00E72846"/>
    <w:rsid w:val="00E72870"/>
    <w:rsid w:val="00E72C07"/>
    <w:rsid w:val="00E72CF1"/>
    <w:rsid w:val="00E72E5A"/>
    <w:rsid w:val="00E72EB3"/>
    <w:rsid w:val="00E730A9"/>
    <w:rsid w:val="00E73294"/>
    <w:rsid w:val="00E7335F"/>
    <w:rsid w:val="00E73466"/>
    <w:rsid w:val="00E7393D"/>
    <w:rsid w:val="00E74344"/>
    <w:rsid w:val="00E74CCE"/>
    <w:rsid w:val="00E74D19"/>
    <w:rsid w:val="00E75148"/>
    <w:rsid w:val="00E75465"/>
    <w:rsid w:val="00E757A7"/>
    <w:rsid w:val="00E757DE"/>
    <w:rsid w:val="00E76058"/>
    <w:rsid w:val="00E76721"/>
    <w:rsid w:val="00E7716D"/>
    <w:rsid w:val="00E77680"/>
    <w:rsid w:val="00E7778A"/>
    <w:rsid w:val="00E779C0"/>
    <w:rsid w:val="00E77A99"/>
    <w:rsid w:val="00E77CE3"/>
    <w:rsid w:val="00E80227"/>
    <w:rsid w:val="00E80F65"/>
    <w:rsid w:val="00E812AF"/>
    <w:rsid w:val="00E812F9"/>
    <w:rsid w:val="00E81AA1"/>
    <w:rsid w:val="00E82D0E"/>
    <w:rsid w:val="00E8389E"/>
    <w:rsid w:val="00E83B96"/>
    <w:rsid w:val="00E83BA8"/>
    <w:rsid w:val="00E83C27"/>
    <w:rsid w:val="00E83D0F"/>
    <w:rsid w:val="00E845BF"/>
    <w:rsid w:val="00E86884"/>
    <w:rsid w:val="00E8697C"/>
    <w:rsid w:val="00E86DE7"/>
    <w:rsid w:val="00E86F82"/>
    <w:rsid w:val="00E8730C"/>
    <w:rsid w:val="00E8775C"/>
    <w:rsid w:val="00E877DE"/>
    <w:rsid w:val="00E87966"/>
    <w:rsid w:val="00E87FDF"/>
    <w:rsid w:val="00E9006F"/>
    <w:rsid w:val="00E9074C"/>
    <w:rsid w:val="00E91265"/>
    <w:rsid w:val="00E912A0"/>
    <w:rsid w:val="00E9136D"/>
    <w:rsid w:val="00E9170B"/>
    <w:rsid w:val="00E919A6"/>
    <w:rsid w:val="00E91E73"/>
    <w:rsid w:val="00E92119"/>
    <w:rsid w:val="00E92C82"/>
    <w:rsid w:val="00E93463"/>
    <w:rsid w:val="00E934CA"/>
    <w:rsid w:val="00E936B5"/>
    <w:rsid w:val="00E93910"/>
    <w:rsid w:val="00E95716"/>
    <w:rsid w:val="00E957A0"/>
    <w:rsid w:val="00E9583F"/>
    <w:rsid w:val="00E964B1"/>
    <w:rsid w:val="00E970C6"/>
    <w:rsid w:val="00E97AF1"/>
    <w:rsid w:val="00E97E90"/>
    <w:rsid w:val="00EA0023"/>
    <w:rsid w:val="00EA0742"/>
    <w:rsid w:val="00EA07A4"/>
    <w:rsid w:val="00EA195E"/>
    <w:rsid w:val="00EA1C7F"/>
    <w:rsid w:val="00EA1DE0"/>
    <w:rsid w:val="00EA1E56"/>
    <w:rsid w:val="00EA279C"/>
    <w:rsid w:val="00EA2CB8"/>
    <w:rsid w:val="00EA34F5"/>
    <w:rsid w:val="00EA3D03"/>
    <w:rsid w:val="00EA3D4B"/>
    <w:rsid w:val="00EA3D8E"/>
    <w:rsid w:val="00EA3F10"/>
    <w:rsid w:val="00EA4499"/>
    <w:rsid w:val="00EA4792"/>
    <w:rsid w:val="00EA5C31"/>
    <w:rsid w:val="00EA5CB3"/>
    <w:rsid w:val="00EA5CFE"/>
    <w:rsid w:val="00EA608C"/>
    <w:rsid w:val="00EA62EE"/>
    <w:rsid w:val="00EA631A"/>
    <w:rsid w:val="00EA67DC"/>
    <w:rsid w:val="00EA6B07"/>
    <w:rsid w:val="00EA7029"/>
    <w:rsid w:val="00EA705E"/>
    <w:rsid w:val="00EA76E4"/>
    <w:rsid w:val="00EA7A42"/>
    <w:rsid w:val="00EA7F24"/>
    <w:rsid w:val="00EB0123"/>
    <w:rsid w:val="00EB1DB2"/>
    <w:rsid w:val="00EB1F2C"/>
    <w:rsid w:val="00EB20C5"/>
    <w:rsid w:val="00EB233A"/>
    <w:rsid w:val="00EB3607"/>
    <w:rsid w:val="00EB365F"/>
    <w:rsid w:val="00EB3B05"/>
    <w:rsid w:val="00EB447B"/>
    <w:rsid w:val="00EB462E"/>
    <w:rsid w:val="00EB5034"/>
    <w:rsid w:val="00EB58C0"/>
    <w:rsid w:val="00EB605C"/>
    <w:rsid w:val="00EB627C"/>
    <w:rsid w:val="00EB68F2"/>
    <w:rsid w:val="00EB6A60"/>
    <w:rsid w:val="00EB7630"/>
    <w:rsid w:val="00EC007D"/>
    <w:rsid w:val="00EC05A5"/>
    <w:rsid w:val="00EC08B7"/>
    <w:rsid w:val="00EC1E7A"/>
    <w:rsid w:val="00EC24A0"/>
    <w:rsid w:val="00EC251F"/>
    <w:rsid w:val="00EC287D"/>
    <w:rsid w:val="00EC2CC2"/>
    <w:rsid w:val="00EC3EDA"/>
    <w:rsid w:val="00EC449C"/>
    <w:rsid w:val="00EC499E"/>
    <w:rsid w:val="00EC4D4C"/>
    <w:rsid w:val="00EC4E38"/>
    <w:rsid w:val="00EC4F7D"/>
    <w:rsid w:val="00EC53DA"/>
    <w:rsid w:val="00EC5586"/>
    <w:rsid w:val="00EC5679"/>
    <w:rsid w:val="00EC5A24"/>
    <w:rsid w:val="00EC5C25"/>
    <w:rsid w:val="00EC5CBA"/>
    <w:rsid w:val="00EC5D8B"/>
    <w:rsid w:val="00EC6448"/>
    <w:rsid w:val="00EC6537"/>
    <w:rsid w:val="00EC65D8"/>
    <w:rsid w:val="00EC6648"/>
    <w:rsid w:val="00EC6A21"/>
    <w:rsid w:val="00EC6E0E"/>
    <w:rsid w:val="00EC6E66"/>
    <w:rsid w:val="00EC6FF0"/>
    <w:rsid w:val="00EC7147"/>
    <w:rsid w:val="00EC7568"/>
    <w:rsid w:val="00EC7A67"/>
    <w:rsid w:val="00EC7AFF"/>
    <w:rsid w:val="00EC7CC2"/>
    <w:rsid w:val="00EC7D91"/>
    <w:rsid w:val="00ED082C"/>
    <w:rsid w:val="00ED09FE"/>
    <w:rsid w:val="00ED13E0"/>
    <w:rsid w:val="00ED16CB"/>
    <w:rsid w:val="00ED20AF"/>
    <w:rsid w:val="00ED25CB"/>
    <w:rsid w:val="00ED2698"/>
    <w:rsid w:val="00ED2F7E"/>
    <w:rsid w:val="00ED36A4"/>
    <w:rsid w:val="00ED37FF"/>
    <w:rsid w:val="00ED420A"/>
    <w:rsid w:val="00ED469C"/>
    <w:rsid w:val="00ED47EF"/>
    <w:rsid w:val="00ED47FF"/>
    <w:rsid w:val="00ED4E6C"/>
    <w:rsid w:val="00ED521A"/>
    <w:rsid w:val="00ED613E"/>
    <w:rsid w:val="00ED663A"/>
    <w:rsid w:val="00ED6A39"/>
    <w:rsid w:val="00ED7589"/>
    <w:rsid w:val="00ED771E"/>
    <w:rsid w:val="00EE004C"/>
    <w:rsid w:val="00EE03C5"/>
    <w:rsid w:val="00EE0466"/>
    <w:rsid w:val="00EE09B9"/>
    <w:rsid w:val="00EE1A67"/>
    <w:rsid w:val="00EE1C57"/>
    <w:rsid w:val="00EE2B8B"/>
    <w:rsid w:val="00EE2C4A"/>
    <w:rsid w:val="00EE3860"/>
    <w:rsid w:val="00EE3D24"/>
    <w:rsid w:val="00EE4408"/>
    <w:rsid w:val="00EE4A9B"/>
    <w:rsid w:val="00EE4B1E"/>
    <w:rsid w:val="00EE4E0C"/>
    <w:rsid w:val="00EE4FD3"/>
    <w:rsid w:val="00EE5015"/>
    <w:rsid w:val="00EE5019"/>
    <w:rsid w:val="00EE5136"/>
    <w:rsid w:val="00EE5262"/>
    <w:rsid w:val="00EE5963"/>
    <w:rsid w:val="00EE5A10"/>
    <w:rsid w:val="00EE5A62"/>
    <w:rsid w:val="00EE5AF1"/>
    <w:rsid w:val="00EE6F46"/>
    <w:rsid w:val="00EE73C6"/>
    <w:rsid w:val="00EE7B0D"/>
    <w:rsid w:val="00EE7B38"/>
    <w:rsid w:val="00EF0414"/>
    <w:rsid w:val="00EF1421"/>
    <w:rsid w:val="00EF1470"/>
    <w:rsid w:val="00EF1B99"/>
    <w:rsid w:val="00EF20AE"/>
    <w:rsid w:val="00EF225E"/>
    <w:rsid w:val="00EF258A"/>
    <w:rsid w:val="00EF26A9"/>
    <w:rsid w:val="00EF2711"/>
    <w:rsid w:val="00EF33D2"/>
    <w:rsid w:val="00EF3522"/>
    <w:rsid w:val="00EF39B5"/>
    <w:rsid w:val="00EF3E94"/>
    <w:rsid w:val="00EF445A"/>
    <w:rsid w:val="00EF50E3"/>
    <w:rsid w:val="00EF5B27"/>
    <w:rsid w:val="00EF616B"/>
    <w:rsid w:val="00EF66D3"/>
    <w:rsid w:val="00EF6AD9"/>
    <w:rsid w:val="00EF6BE1"/>
    <w:rsid w:val="00EF72A6"/>
    <w:rsid w:val="00EF7B63"/>
    <w:rsid w:val="00F004D6"/>
    <w:rsid w:val="00F00577"/>
    <w:rsid w:val="00F006AD"/>
    <w:rsid w:val="00F00C60"/>
    <w:rsid w:val="00F00D65"/>
    <w:rsid w:val="00F0183B"/>
    <w:rsid w:val="00F01937"/>
    <w:rsid w:val="00F01B77"/>
    <w:rsid w:val="00F01C27"/>
    <w:rsid w:val="00F020F4"/>
    <w:rsid w:val="00F021FC"/>
    <w:rsid w:val="00F0281B"/>
    <w:rsid w:val="00F0283D"/>
    <w:rsid w:val="00F029EE"/>
    <w:rsid w:val="00F02E07"/>
    <w:rsid w:val="00F0380D"/>
    <w:rsid w:val="00F03A92"/>
    <w:rsid w:val="00F03DBF"/>
    <w:rsid w:val="00F03EE3"/>
    <w:rsid w:val="00F04854"/>
    <w:rsid w:val="00F04A5D"/>
    <w:rsid w:val="00F056D8"/>
    <w:rsid w:val="00F057FB"/>
    <w:rsid w:val="00F05EC1"/>
    <w:rsid w:val="00F05FAA"/>
    <w:rsid w:val="00F06360"/>
    <w:rsid w:val="00F068D5"/>
    <w:rsid w:val="00F07131"/>
    <w:rsid w:val="00F0756A"/>
    <w:rsid w:val="00F07709"/>
    <w:rsid w:val="00F10C32"/>
    <w:rsid w:val="00F10DDA"/>
    <w:rsid w:val="00F11875"/>
    <w:rsid w:val="00F11DCE"/>
    <w:rsid w:val="00F11ECC"/>
    <w:rsid w:val="00F11F18"/>
    <w:rsid w:val="00F11F7D"/>
    <w:rsid w:val="00F12298"/>
    <w:rsid w:val="00F122F8"/>
    <w:rsid w:val="00F12B63"/>
    <w:rsid w:val="00F1313F"/>
    <w:rsid w:val="00F1318F"/>
    <w:rsid w:val="00F135D3"/>
    <w:rsid w:val="00F14742"/>
    <w:rsid w:val="00F14967"/>
    <w:rsid w:val="00F14976"/>
    <w:rsid w:val="00F1596A"/>
    <w:rsid w:val="00F15C4D"/>
    <w:rsid w:val="00F16034"/>
    <w:rsid w:val="00F16342"/>
    <w:rsid w:val="00F16DDB"/>
    <w:rsid w:val="00F1730B"/>
    <w:rsid w:val="00F173E3"/>
    <w:rsid w:val="00F178AD"/>
    <w:rsid w:val="00F20865"/>
    <w:rsid w:val="00F20ABA"/>
    <w:rsid w:val="00F20F97"/>
    <w:rsid w:val="00F2109A"/>
    <w:rsid w:val="00F2126D"/>
    <w:rsid w:val="00F2235D"/>
    <w:rsid w:val="00F22C6B"/>
    <w:rsid w:val="00F22D44"/>
    <w:rsid w:val="00F22FBF"/>
    <w:rsid w:val="00F233C3"/>
    <w:rsid w:val="00F23C97"/>
    <w:rsid w:val="00F2428C"/>
    <w:rsid w:val="00F24D19"/>
    <w:rsid w:val="00F24EF2"/>
    <w:rsid w:val="00F24FBC"/>
    <w:rsid w:val="00F25F4D"/>
    <w:rsid w:val="00F26070"/>
    <w:rsid w:val="00F2691A"/>
    <w:rsid w:val="00F26F7B"/>
    <w:rsid w:val="00F274A7"/>
    <w:rsid w:val="00F27691"/>
    <w:rsid w:val="00F27B3F"/>
    <w:rsid w:val="00F27CC4"/>
    <w:rsid w:val="00F30021"/>
    <w:rsid w:val="00F30463"/>
    <w:rsid w:val="00F305D3"/>
    <w:rsid w:val="00F30CD2"/>
    <w:rsid w:val="00F30E05"/>
    <w:rsid w:val="00F31155"/>
    <w:rsid w:val="00F32134"/>
    <w:rsid w:val="00F32AE1"/>
    <w:rsid w:val="00F32AE9"/>
    <w:rsid w:val="00F32D08"/>
    <w:rsid w:val="00F33B8F"/>
    <w:rsid w:val="00F34A5C"/>
    <w:rsid w:val="00F34BED"/>
    <w:rsid w:val="00F3543B"/>
    <w:rsid w:val="00F3558C"/>
    <w:rsid w:val="00F35843"/>
    <w:rsid w:val="00F35E5D"/>
    <w:rsid w:val="00F36026"/>
    <w:rsid w:val="00F365DC"/>
    <w:rsid w:val="00F368B2"/>
    <w:rsid w:val="00F37271"/>
    <w:rsid w:val="00F375CC"/>
    <w:rsid w:val="00F37C58"/>
    <w:rsid w:val="00F37E2F"/>
    <w:rsid w:val="00F37E8E"/>
    <w:rsid w:val="00F40998"/>
    <w:rsid w:val="00F41F34"/>
    <w:rsid w:val="00F420B8"/>
    <w:rsid w:val="00F42366"/>
    <w:rsid w:val="00F42A4A"/>
    <w:rsid w:val="00F4325F"/>
    <w:rsid w:val="00F433DC"/>
    <w:rsid w:val="00F43703"/>
    <w:rsid w:val="00F43C00"/>
    <w:rsid w:val="00F43F59"/>
    <w:rsid w:val="00F44190"/>
    <w:rsid w:val="00F444AF"/>
    <w:rsid w:val="00F44F95"/>
    <w:rsid w:val="00F456FD"/>
    <w:rsid w:val="00F460B3"/>
    <w:rsid w:val="00F46C93"/>
    <w:rsid w:val="00F4752C"/>
    <w:rsid w:val="00F47C7A"/>
    <w:rsid w:val="00F47E3C"/>
    <w:rsid w:val="00F503C5"/>
    <w:rsid w:val="00F50DF4"/>
    <w:rsid w:val="00F5115F"/>
    <w:rsid w:val="00F51B09"/>
    <w:rsid w:val="00F51DB1"/>
    <w:rsid w:val="00F528EE"/>
    <w:rsid w:val="00F52B9B"/>
    <w:rsid w:val="00F52C6A"/>
    <w:rsid w:val="00F5310C"/>
    <w:rsid w:val="00F5339C"/>
    <w:rsid w:val="00F53488"/>
    <w:rsid w:val="00F53E53"/>
    <w:rsid w:val="00F54923"/>
    <w:rsid w:val="00F54BE0"/>
    <w:rsid w:val="00F54E36"/>
    <w:rsid w:val="00F55145"/>
    <w:rsid w:val="00F55207"/>
    <w:rsid w:val="00F5539B"/>
    <w:rsid w:val="00F553DE"/>
    <w:rsid w:val="00F558AF"/>
    <w:rsid w:val="00F55B59"/>
    <w:rsid w:val="00F56364"/>
    <w:rsid w:val="00F5667D"/>
    <w:rsid w:val="00F5668E"/>
    <w:rsid w:val="00F570F7"/>
    <w:rsid w:val="00F57366"/>
    <w:rsid w:val="00F57774"/>
    <w:rsid w:val="00F57909"/>
    <w:rsid w:val="00F57A81"/>
    <w:rsid w:val="00F57BED"/>
    <w:rsid w:val="00F6057D"/>
    <w:rsid w:val="00F60768"/>
    <w:rsid w:val="00F60A08"/>
    <w:rsid w:val="00F60E6C"/>
    <w:rsid w:val="00F61867"/>
    <w:rsid w:val="00F618FA"/>
    <w:rsid w:val="00F61D4D"/>
    <w:rsid w:val="00F627A7"/>
    <w:rsid w:val="00F63151"/>
    <w:rsid w:val="00F632F2"/>
    <w:rsid w:val="00F632FF"/>
    <w:rsid w:val="00F63355"/>
    <w:rsid w:val="00F63BBA"/>
    <w:rsid w:val="00F63BC9"/>
    <w:rsid w:val="00F640EA"/>
    <w:rsid w:val="00F64AA8"/>
    <w:rsid w:val="00F658D4"/>
    <w:rsid w:val="00F65AAF"/>
    <w:rsid w:val="00F66871"/>
    <w:rsid w:val="00F6691F"/>
    <w:rsid w:val="00F66B2A"/>
    <w:rsid w:val="00F70C26"/>
    <w:rsid w:val="00F70EAF"/>
    <w:rsid w:val="00F71040"/>
    <w:rsid w:val="00F713D0"/>
    <w:rsid w:val="00F7161B"/>
    <w:rsid w:val="00F71656"/>
    <w:rsid w:val="00F71699"/>
    <w:rsid w:val="00F720EB"/>
    <w:rsid w:val="00F721A1"/>
    <w:rsid w:val="00F72245"/>
    <w:rsid w:val="00F722A9"/>
    <w:rsid w:val="00F731DC"/>
    <w:rsid w:val="00F73B16"/>
    <w:rsid w:val="00F73C2F"/>
    <w:rsid w:val="00F73E8B"/>
    <w:rsid w:val="00F74075"/>
    <w:rsid w:val="00F7473E"/>
    <w:rsid w:val="00F74C8D"/>
    <w:rsid w:val="00F75160"/>
    <w:rsid w:val="00F7559A"/>
    <w:rsid w:val="00F75BCE"/>
    <w:rsid w:val="00F76122"/>
    <w:rsid w:val="00F77285"/>
    <w:rsid w:val="00F772B3"/>
    <w:rsid w:val="00F776D4"/>
    <w:rsid w:val="00F7794A"/>
    <w:rsid w:val="00F77B1C"/>
    <w:rsid w:val="00F801A1"/>
    <w:rsid w:val="00F80287"/>
    <w:rsid w:val="00F803AF"/>
    <w:rsid w:val="00F80AE6"/>
    <w:rsid w:val="00F80C8A"/>
    <w:rsid w:val="00F81507"/>
    <w:rsid w:val="00F81595"/>
    <w:rsid w:val="00F817D7"/>
    <w:rsid w:val="00F81D30"/>
    <w:rsid w:val="00F824E3"/>
    <w:rsid w:val="00F8286B"/>
    <w:rsid w:val="00F82D36"/>
    <w:rsid w:val="00F82F8C"/>
    <w:rsid w:val="00F831B4"/>
    <w:rsid w:val="00F8333B"/>
    <w:rsid w:val="00F8335D"/>
    <w:rsid w:val="00F835DF"/>
    <w:rsid w:val="00F83CFD"/>
    <w:rsid w:val="00F8474B"/>
    <w:rsid w:val="00F852EB"/>
    <w:rsid w:val="00F85800"/>
    <w:rsid w:val="00F85BDE"/>
    <w:rsid w:val="00F85CA2"/>
    <w:rsid w:val="00F85E61"/>
    <w:rsid w:val="00F863CF"/>
    <w:rsid w:val="00F86A16"/>
    <w:rsid w:val="00F86BC2"/>
    <w:rsid w:val="00F86F65"/>
    <w:rsid w:val="00F86FCA"/>
    <w:rsid w:val="00F87CDA"/>
    <w:rsid w:val="00F87E25"/>
    <w:rsid w:val="00F907A0"/>
    <w:rsid w:val="00F908DC"/>
    <w:rsid w:val="00F917B4"/>
    <w:rsid w:val="00F91C99"/>
    <w:rsid w:val="00F923D3"/>
    <w:rsid w:val="00F926C7"/>
    <w:rsid w:val="00F9277B"/>
    <w:rsid w:val="00F928C2"/>
    <w:rsid w:val="00F93541"/>
    <w:rsid w:val="00F9372E"/>
    <w:rsid w:val="00F93CCD"/>
    <w:rsid w:val="00F94DC8"/>
    <w:rsid w:val="00F94DE0"/>
    <w:rsid w:val="00F94E16"/>
    <w:rsid w:val="00F94F3D"/>
    <w:rsid w:val="00F95023"/>
    <w:rsid w:val="00F958D0"/>
    <w:rsid w:val="00F969C9"/>
    <w:rsid w:val="00F96E4B"/>
    <w:rsid w:val="00F96FA2"/>
    <w:rsid w:val="00F9776A"/>
    <w:rsid w:val="00F978F9"/>
    <w:rsid w:val="00F9795A"/>
    <w:rsid w:val="00F97990"/>
    <w:rsid w:val="00FA00B2"/>
    <w:rsid w:val="00FA045E"/>
    <w:rsid w:val="00FA07D2"/>
    <w:rsid w:val="00FA09F6"/>
    <w:rsid w:val="00FA0BF4"/>
    <w:rsid w:val="00FA1195"/>
    <w:rsid w:val="00FA1CD4"/>
    <w:rsid w:val="00FA21DF"/>
    <w:rsid w:val="00FA22EA"/>
    <w:rsid w:val="00FA28D6"/>
    <w:rsid w:val="00FA3618"/>
    <w:rsid w:val="00FA3742"/>
    <w:rsid w:val="00FA388B"/>
    <w:rsid w:val="00FA3DE4"/>
    <w:rsid w:val="00FA40D6"/>
    <w:rsid w:val="00FA426C"/>
    <w:rsid w:val="00FA45A2"/>
    <w:rsid w:val="00FA524F"/>
    <w:rsid w:val="00FA5A3E"/>
    <w:rsid w:val="00FA5F54"/>
    <w:rsid w:val="00FA638F"/>
    <w:rsid w:val="00FA719C"/>
    <w:rsid w:val="00FA760A"/>
    <w:rsid w:val="00FA7A12"/>
    <w:rsid w:val="00FB002E"/>
    <w:rsid w:val="00FB020C"/>
    <w:rsid w:val="00FB032D"/>
    <w:rsid w:val="00FB0739"/>
    <w:rsid w:val="00FB0831"/>
    <w:rsid w:val="00FB0981"/>
    <w:rsid w:val="00FB0F7F"/>
    <w:rsid w:val="00FB1BA6"/>
    <w:rsid w:val="00FB27AB"/>
    <w:rsid w:val="00FB2CB5"/>
    <w:rsid w:val="00FB35EC"/>
    <w:rsid w:val="00FB3E24"/>
    <w:rsid w:val="00FB3E60"/>
    <w:rsid w:val="00FB3EEF"/>
    <w:rsid w:val="00FB4856"/>
    <w:rsid w:val="00FB4B0E"/>
    <w:rsid w:val="00FB506D"/>
    <w:rsid w:val="00FB558D"/>
    <w:rsid w:val="00FB58B9"/>
    <w:rsid w:val="00FB58C3"/>
    <w:rsid w:val="00FB60D8"/>
    <w:rsid w:val="00FB6106"/>
    <w:rsid w:val="00FB6951"/>
    <w:rsid w:val="00FB69B9"/>
    <w:rsid w:val="00FB6C6B"/>
    <w:rsid w:val="00FB6CBE"/>
    <w:rsid w:val="00FB7E56"/>
    <w:rsid w:val="00FC0958"/>
    <w:rsid w:val="00FC0B66"/>
    <w:rsid w:val="00FC0E45"/>
    <w:rsid w:val="00FC12A0"/>
    <w:rsid w:val="00FC139E"/>
    <w:rsid w:val="00FC1CD9"/>
    <w:rsid w:val="00FC1F68"/>
    <w:rsid w:val="00FC2106"/>
    <w:rsid w:val="00FC2368"/>
    <w:rsid w:val="00FC2587"/>
    <w:rsid w:val="00FC2FB8"/>
    <w:rsid w:val="00FC38D4"/>
    <w:rsid w:val="00FC44BA"/>
    <w:rsid w:val="00FC451C"/>
    <w:rsid w:val="00FC4765"/>
    <w:rsid w:val="00FC4A19"/>
    <w:rsid w:val="00FC4D92"/>
    <w:rsid w:val="00FC53F2"/>
    <w:rsid w:val="00FC5935"/>
    <w:rsid w:val="00FC5B5F"/>
    <w:rsid w:val="00FC6293"/>
    <w:rsid w:val="00FC638B"/>
    <w:rsid w:val="00FC6968"/>
    <w:rsid w:val="00FC75A2"/>
    <w:rsid w:val="00FC77C0"/>
    <w:rsid w:val="00FC7B4D"/>
    <w:rsid w:val="00FC7CA0"/>
    <w:rsid w:val="00FC7FBF"/>
    <w:rsid w:val="00FD0192"/>
    <w:rsid w:val="00FD0392"/>
    <w:rsid w:val="00FD09D7"/>
    <w:rsid w:val="00FD0CF9"/>
    <w:rsid w:val="00FD0DF4"/>
    <w:rsid w:val="00FD0E73"/>
    <w:rsid w:val="00FD12AD"/>
    <w:rsid w:val="00FD1517"/>
    <w:rsid w:val="00FD164C"/>
    <w:rsid w:val="00FD1A44"/>
    <w:rsid w:val="00FD1CD2"/>
    <w:rsid w:val="00FD2321"/>
    <w:rsid w:val="00FD26F0"/>
    <w:rsid w:val="00FD27DC"/>
    <w:rsid w:val="00FD284B"/>
    <w:rsid w:val="00FD2924"/>
    <w:rsid w:val="00FD2BED"/>
    <w:rsid w:val="00FD39E2"/>
    <w:rsid w:val="00FD4145"/>
    <w:rsid w:val="00FD464C"/>
    <w:rsid w:val="00FD4774"/>
    <w:rsid w:val="00FD4D22"/>
    <w:rsid w:val="00FD4FA3"/>
    <w:rsid w:val="00FD522B"/>
    <w:rsid w:val="00FD5391"/>
    <w:rsid w:val="00FD5B0A"/>
    <w:rsid w:val="00FD640C"/>
    <w:rsid w:val="00FD68CE"/>
    <w:rsid w:val="00FD69F7"/>
    <w:rsid w:val="00FD700D"/>
    <w:rsid w:val="00FD7051"/>
    <w:rsid w:val="00FD7823"/>
    <w:rsid w:val="00FD7B6C"/>
    <w:rsid w:val="00FD7FE5"/>
    <w:rsid w:val="00FE10A1"/>
    <w:rsid w:val="00FE1155"/>
    <w:rsid w:val="00FE167D"/>
    <w:rsid w:val="00FE1CAB"/>
    <w:rsid w:val="00FE21EF"/>
    <w:rsid w:val="00FE243A"/>
    <w:rsid w:val="00FE2659"/>
    <w:rsid w:val="00FE2EBE"/>
    <w:rsid w:val="00FE2EC9"/>
    <w:rsid w:val="00FE3021"/>
    <w:rsid w:val="00FE3522"/>
    <w:rsid w:val="00FE3DBF"/>
    <w:rsid w:val="00FE3DD7"/>
    <w:rsid w:val="00FE41F3"/>
    <w:rsid w:val="00FE4F58"/>
    <w:rsid w:val="00FE4FB6"/>
    <w:rsid w:val="00FE56F5"/>
    <w:rsid w:val="00FE57E7"/>
    <w:rsid w:val="00FE5B82"/>
    <w:rsid w:val="00FE5D1A"/>
    <w:rsid w:val="00FE699D"/>
    <w:rsid w:val="00FE7210"/>
    <w:rsid w:val="00FE7266"/>
    <w:rsid w:val="00FE7E67"/>
    <w:rsid w:val="00FF0149"/>
    <w:rsid w:val="00FF1156"/>
    <w:rsid w:val="00FF120A"/>
    <w:rsid w:val="00FF1420"/>
    <w:rsid w:val="00FF1DA2"/>
    <w:rsid w:val="00FF2020"/>
    <w:rsid w:val="00FF256F"/>
    <w:rsid w:val="00FF2923"/>
    <w:rsid w:val="00FF2B75"/>
    <w:rsid w:val="00FF2BD3"/>
    <w:rsid w:val="00FF3262"/>
    <w:rsid w:val="00FF32AA"/>
    <w:rsid w:val="00FF3621"/>
    <w:rsid w:val="00FF3A70"/>
    <w:rsid w:val="00FF3FE1"/>
    <w:rsid w:val="00FF42A7"/>
    <w:rsid w:val="00FF4540"/>
    <w:rsid w:val="00FF4B65"/>
    <w:rsid w:val="00FF4CCD"/>
    <w:rsid w:val="00FF57AB"/>
    <w:rsid w:val="00FF5944"/>
    <w:rsid w:val="00FF5992"/>
    <w:rsid w:val="00FF5EC9"/>
    <w:rsid w:val="00FF6701"/>
    <w:rsid w:val="00FF67EB"/>
    <w:rsid w:val="00FF6AE4"/>
    <w:rsid w:val="00FF7030"/>
    <w:rsid w:val="00FF758C"/>
    <w:rsid w:val="00FF7B16"/>
    <w:rsid w:val="00FF7D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03F16"/>
  <w15:chartTrackingRefBased/>
  <w15:docId w15:val="{8EFE8925-5688-41EC-8E23-FAFC4122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7E8"/>
    <w:pPr>
      <w:keepNext/>
      <w:keepLines/>
      <w:spacing w:before="120" w:after="0" w:line="360" w:lineRule="auto"/>
      <w:jc w:val="both"/>
      <w:outlineLvl w:val="0"/>
    </w:pPr>
    <w:rPr>
      <w:rFonts w:ascii="Garamond" w:eastAsiaTheme="majorEastAsia" w:hAnsi="Garamond" w:cstheme="majorBidi"/>
      <w:b/>
      <w:sz w:val="24"/>
      <w:szCs w:val="40"/>
    </w:rPr>
  </w:style>
  <w:style w:type="paragraph" w:styleId="Heading2">
    <w:name w:val="heading 2"/>
    <w:basedOn w:val="Normal"/>
    <w:next w:val="Normal"/>
    <w:link w:val="Heading2Char"/>
    <w:uiPriority w:val="9"/>
    <w:unhideWhenUsed/>
    <w:qFormat/>
    <w:rsid w:val="003F47E8"/>
    <w:pPr>
      <w:keepNext/>
      <w:keepLines/>
      <w:spacing w:before="120" w:after="120" w:line="360" w:lineRule="auto"/>
      <w:jc w:val="both"/>
      <w:outlineLvl w:val="1"/>
    </w:pPr>
    <w:rPr>
      <w:rFonts w:ascii="Garamond" w:eastAsiaTheme="majorEastAsia" w:hAnsi="Garamond" w:cstheme="majorBidi"/>
      <w:b/>
      <w:sz w:val="24"/>
      <w:szCs w:val="32"/>
    </w:rPr>
  </w:style>
  <w:style w:type="paragraph" w:styleId="Heading3">
    <w:name w:val="heading 3"/>
    <w:basedOn w:val="Normal"/>
    <w:next w:val="Normal"/>
    <w:link w:val="Heading3Char"/>
    <w:uiPriority w:val="9"/>
    <w:unhideWhenUsed/>
    <w:qFormat/>
    <w:rsid w:val="00B679CD"/>
    <w:pPr>
      <w:keepNext/>
      <w:keepLines/>
      <w:spacing w:before="280" w:after="200" w:line="360" w:lineRule="auto"/>
      <w:jc w:val="both"/>
      <w:outlineLvl w:val="2"/>
    </w:pPr>
    <w:rPr>
      <w:rFonts w:ascii="Garamond" w:eastAsiaTheme="majorEastAsia" w:hAnsi="Garamond" w:cstheme="majorBidi"/>
      <w:b/>
      <w:color w:val="000000" w:themeColor="text1"/>
      <w:sz w:val="24"/>
      <w:szCs w:val="28"/>
    </w:rPr>
  </w:style>
  <w:style w:type="paragraph" w:styleId="Heading4">
    <w:name w:val="heading 4"/>
    <w:basedOn w:val="Normal"/>
    <w:next w:val="Normal"/>
    <w:link w:val="Heading4Char"/>
    <w:uiPriority w:val="9"/>
    <w:unhideWhenUsed/>
    <w:qFormat/>
    <w:rsid w:val="00C45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E8"/>
    <w:rPr>
      <w:rFonts w:ascii="Garamond" w:eastAsiaTheme="majorEastAsia" w:hAnsi="Garamond" w:cstheme="majorBidi"/>
      <w:b/>
      <w:sz w:val="24"/>
      <w:szCs w:val="40"/>
    </w:rPr>
  </w:style>
  <w:style w:type="character" w:customStyle="1" w:styleId="Heading2Char">
    <w:name w:val="Heading 2 Char"/>
    <w:basedOn w:val="DefaultParagraphFont"/>
    <w:link w:val="Heading2"/>
    <w:uiPriority w:val="9"/>
    <w:rsid w:val="003F47E8"/>
    <w:rPr>
      <w:rFonts w:ascii="Garamond" w:eastAsiaTheme="majorEastAsia" w:hAnsi="Garamond" w:cstheme="majorBidi"/>
      <w:b/>
      <w:sz w:val="24"/>
      <w:szCs w:val="32"/>
    </w:rPr>
  </w:style>
  <w:style w:type="character" w:customStyle="1" w:styleId="Heading3Char">
    <w:name w:val="Heading 3 Char"/>
    <w:basedOn w:val="DefaultParagraphFont"/>
    <w:link w:val="Heading3"/>
    <w:uiPriority w:val="9"/>
    <w:rsid w:val="00B679CD"/>
    <w:rPr>
      <w:rFonts w:ascii="Garamond" w:eastAsiaTheme="majorEastAsia" w:hAnsi="Garamond" w:cstheme="majorBidi"/>
      <w:b/>
      <w:color w:val="000000" w:themeColor="text1"/>
      <w:sz w:val="24"/>
      <w:szCs w:val="28"/>
    </w:rPr>
  </w:style>
  <w:style w:type="character" w:customStyle="1" w:styleId="Heading4Char">
    <w:name w:val="Heading 4 Char"/>
    <w:basedOn w:val="DefaultParagraphFont"/>
    <w:link w:val="Heading4"/>
    <w:uiPriority w:val="9"/>
    <w:rsid w:val="00C45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BD1"/>
    <w:rPr>
      <w:rFonts w:eastAsiaTheme="majorEastAsia" w:cstheme="majorBidi"/>
      <w:color w:val="272727" w:themeColor="text1" w:themeTint="D8"/>
    </w:rPr>
  </w:style>
  <w:style w:type="paragraph" w:styleId="Title">
    <w:name w:val="Title"/>
    <w:basedOn w:val="Normal"/>
    <w:next w:val="Normal"/>
    <w:link w:val="TitleChar"/>
    <w:uiPriority w:val="10"/>
    <w:qFormat/>
    <w:rsid w:val="00C45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BD1"/>
    <w:pPr>
      <w:spacing w:before="160"/>
      <w:jc w:val="center"/>
    </w:pPr>
    <w:rPr>
      <w:i/>
      <w:iCs/>
      <w:color w:val="404040" w:themeColor="text1" w:themeTint="BF"/>
    </w:rPr>
  </w:style>
  <w:style w:type="character" w:customStyle="1" w:styleId="QuoteChar">
    <w:name w:val="Quote Char"/>
    <w:basedOn w:val="DefaultParagraphFont"/>
    <w:link w:val="Quote"/>
    <w:uiPriority w:val="29"/>
    <w:rsid w:val="00C45BD1"/>
    <w:rPr>
      <w:i/>
      <w:iCs/>
      <w:color w:val="404040" w:themeColor="text1" w:themeTint="BF"/>
    </w:rPr>
  </w:style>
  <w:style w:type="paragraph" w:styleId="ListParagraph">
    <w:name w:val="List Paragraph"/>
    <w:basedOn w:val="Normal"/>
    <w:uiPriority w:val="34"/>
    <w:qFormat/>
    <w:rsid w:val="00C45BD1"/>
    <w:pPr>
      <w:ind w:left="720"/>
      <w:contextualSpacing/>
    </w:pPr>
  </w:style>
  <w:style w:type="character" w:styleId="IntenseEmphasis">
    <w:name w:val="Intense Emphasis"/>
    <w:basedOn w:val="DefaultParagraphFont"/>
    <w:uiPriority w:val="21"/>
    <w:qFormat/>
    <w:rsid w:val="00C45BD1"/>
    <w:rPr>
      <w:i/>
      <w:iCs/>
      <w:color w:val="0F4761" w:themeColor="accent1" w:themeShade="BF"/>
    </w:rPr>
  </w:style>
  <w:style w:type="paragraph" w:styleId="IntenseQuote">
    <w:name w:val="Intense Quote"/>
    <w:basedOn w:val="Normal"/>
    <w:next w:val="Normal"/>
    <w:link w:val="IntenseQuoteChar"/>
    <w:uiPriority w:val="30"/>
    <w:qFormat/>
    <w:rsid w:val="00C45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BD1"/>
    <w:rPr>
      <w:i/>
      <w:iCs/>
      <w:color w:val="0F4761" w:themeColor="accent1" w:themeShade="BF"/>
    </w:rPr>
  </w:style>
  <w:style w:type="character" w:styleId="IntenseReference">
    <w:name w:val="Intense Reference"/>
    <w:basedOn w:val="DefaultParagraphFont"/>
    <w:uiPriority w:val="32"/>
    <w:qFormat/>
    <w:rsid w:val="00C45BD1"/>
    <w:rPr>
      <w:b/>
      <w:bCs/>
      <w:smallCaps/>
      <w:color w:val="0F4761" w:themeColor="accent1" w:themeShade="BF"/>
      <w:spacing w:val="5"/>
    </w:rPr>
  </w:style>
  <w:style w:type="paragraph" w:styleId="FootnoteText">
    <w:name w:val="footnote text"/>
    <w:basedOn w:val="Normal"/>
    <w:link w:val="FootnoteTextChar"/>
    <w:uiPriority w:val="99"/>
    <w:unhideWhenUsed/>
    <w:rsid w:val="008D17B1"/>
    <w:pPr>
      <w:spacing w:after="0" w:line="240" w:lineRule="auto"/>
    </w:pPr>
    <w:rPr>
      <w:sz w:val="20"/>
      <w:szCs w:val="20"/>
    </w:rPr>
  </w:style>
  <w:style w:type="character" w:customStyle="1" w:styleId="FootnoteTextChar">
    <w:name w:val="Footnote Text Char"/>
    <w:basedOn w:val="DefaultParagraphFont"/>
    <w:link w:val="FootnoteText"/>
    <w:uiPriority w:val="99"/>
    <w:rsid w:val="008D17B1"/>
    <w:rPr>
      <w:sz w:val="20"/>
      <w:szCs w:val="20"/>
    </w:rPr>
  </w:style>
  <w:style w:type="character" w:styleId="FootnoteReference">
    <w:name w:val="footnote reference"/>
    <w:basedOn w:val="DefaultParagraphFont"/>
    <w:uiPriority w:val="99"/>
    <w:semiHidden/>
    <w:unhideWhenUsed/>
    <w:rsid w:val="008D17B1"/>
    <w:rPr>
      <w:vertAlign w:val="superscript"/>
    </w:rPr>
  </w:style>
  <w:style w:type="character" w:styleId="CommentReference">
    <w:name w:val="annotation reference"/>
    <w:basedOn w:val="DefaultParagraphFont"/>
    <w:uiPriority w:val="99"/>
    <w:semiHidden/>
    <w:unhideWhenUsed/>
    <w:rsid w:val="00D2059C"/>
    <w:rPr>
      <w:sz w:val="16"/>
      <w:szCs w:val="16"/>
    </w:rPr>
  </w:style>
  <w:style w:type="paragraph" w:styleId="CommentText">
    <w:name w:val="annotation text"/>
    <w:basedOn w:val="Normal"/>
    <w:link w:val="CommentTextChar"/>
    <w:uiPriority w:val="99"/>
    <w:unhideWhenUsed/>
    <w:rsid w:val="00D2059C"/>
    <w:pPr>
      <w:spacing w:line="240" w:lineRule="auto"/>
    </w:pPr>
    <w:rPr>
      <w:sz w:val="20"/>
      <w:szCs w:val="20"/>
    </w:rPr>
  </w:style>
  <w:style w:type="character" w:customStyle="1" w:styleId="CommentTextChar">
    <w:name w:val="Comment Text Char"/>
    <w:basedOn w:val="DefaultParagraphFont"/>
    <w:link w:val="CommentText"/>
    <w:uiPriority w:val="99"/>
    <w:rsid w:val="00D2059C"/>
    <w:rPr>
      <w:sz w:val="20"/>
      <w:szCs w:val="20"/>
    </w:rPr>
  </w:style>
  <w:style w:type="paragraph" w:styleId="CommentSubject">
    <w:name w:val="annotation subject"/>
    <w:basedOn w:val="CommentText"/>
    <w:next w:val="CommentText"/>
    <w:link w:val="CommentSubjectChar"/>
    <w:uiPriority w:val="99"/>
    <w:semiHidden/>
    <w:unhideWhenUsed/>
    <w:rsid w:val="00D2059C"/>
    <w:rPr>
      <w:b/>
      <w:bCs/>
    </w:rPr>
  </w:style>
  <w:style w:type="character" w:customStyle="1" w:styleId="CommentSubjectChar">
    <w:name w:val="Comment Subject Char"/>
    <w:basedOn w:val="CommentTextChar"/>
    <w:link w:val="CommentSubject"/>
    <w:uiPriority w:val="99"/>
    <w:semiHidden/>
    <w:rsid w:val="00D2059C"/>
    <w:rPr>
      <w:b/>
      <w:bCs/>
      <w:sz w:val="20"/>
      <w:szCs w:val="20"/>
    </w:rPr>
  </w:style>
  <w:style w:type="character" w:styleId="Hyperlink">
    <w:name w:val="Hyperlink"/>
    <w:basedOn w:val="DefaultParagraphFont"/>
    <w:uiPriority w:val="99"/>
    <w:unhideWhenUsed/>
    <w:rsid w:val="006A273D"/>
    <w:rPr>
      <w:color w:val="467886" w:themeColor="hyperlink"/>
      <w:u w:val="single"/>
    </w:rPr>
  </w:style>
  <w:style w:type="character" w:styleId="UnresolvedMention">
    <w:name w:val="Unresolved Mention"/>
    <w:basedOn w:val="DefaultParagraphFont"/>
    <w:uiPriority w:val="99"/>
    <w:semiHidden/>
    <w:unhideWhenUsed/>
    <w:rsid w:val="006A273D"/>
    <w:rPr>
      <w:color w:val="605E5C"/>
      <w:shd w:val="clear" w:color="auto" w:fill="E1DFDD"/>
    </w:rPr>
  </w:style>
  <w:style w:type="paragraph" w:styleId="Header">
    <w:name w:val="header"/>
    <w:basedOn w:val="Normal"/>
    <w:link w:val="HeaderChar"/>
    <w:uiPriority w:val="99"/>
    <w:unhideWhenUsed/>
    <w:rsid w:val="00650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8E4"/>
  </w:style>
  <w:style w:type="paragraph" w:styleId="Footer">
    <w:name w:val="footer"/>
    <w:basedOn w:val="Normal"/>
    <w:link w:val="FooterChar"/>
    <w:uiPriority w:val="99"/>
    <w:unhideWhenUsed/>
    <w:rsid w:val="00650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8E4"/>
  </w:style>
  <w:style w:type="character" w:styleId="Emphasis">
    <w:name w:val="Emphasis"/>
    <w:basedOn w:val="DefaultParagraphFont"/>
    <w:uiPriority w:val="20"/>
    <w:qFormat/>
    <w:rsid w:val="00EE4408"/>
    <w:rPr>
      <w:i/>
      <w:iCs/>
    </w:rPr>
  </w:style>
  <w:style w:type="character" w:styleId="FollowedHyperlink">
    <w:name w:val="FollowedHyperlink"/>
    <w:basedOn w:val="DefaultParagraphFont"/>
    <w:uiPriority w:val="99"/>
    <w:semiHidden/>
    <w:unhideWhenUsed/>
    <w:rsid w:val="00491062"/>
    <w:rPr>
      <w:color w:val="96607D" w:themeColor="followedHyperlink"/>
      <w:u w:val="single"/>
    </w:rPr>
  </w:style>
  <w:style w:type="paragraph" w:styleId="NormalWeb">
    <w:name w:val="Normal (Web)"/>
    <w:basedOn w:val="Normal"/>
    <w:uiPriority w:val="99"/>
    <w:semiHidden/>
    <w:unhideWhenUsed/>
    <w:rsid w:val="00A262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TOCHeading">
    <w:name w:val="TOC Heading"/>
    <w:basedOn w:val="Heading1"/>
    <w:next w:val="Normal"/>
    <w:uiPriority w:val="39"/>
    <w:unhideWhenUsed/>
    <w:qFormat/>
    <w:rsid w:val="003F35DB"/>
    <w:pPr>
      <w:spacing w:before="240" w:line="259" w:lineRule="auto"/>
      <w:jc w:val="left"/>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3F35DB"/>
    <w:pPr>
      <w:spacing w:before="240" w:after="120"/>
    </w:pPr>
    <w:rPr>
      <w:b/>
      <w:bCs/>
      <w:sz w:val="20"/>
      <w:szCs w:val="20"/>
    </w:rPr>
  </w:style>
  <w:style w:type="paragraph" w:styleId="TOC2">
    <w:name w:val="toc 2"/>
    <w:basedOn w:val="Normal"/>
    <w:next w:val="Normal"/>
    <w:autoRedefine/>
    <w:uiPriority w:val="39"/>
    <w:unhideWhenUsed/>
    <w:rsid w:val="003F35DB"/>
    <w:pPr>
      <w:spacing w:before="120" w:after="0"/>
      <w:ind w:left="220"/>
    </w:pPr>
    <w:rPr>
      <w:i/>
      <w:iCs/>
      <w:sz w:val="20"/>
      <w:szCs w:val="20"/>
    </w:rPr>
  </w:style>
  <w:style w:type="character" w:customStyle="1" w:styleId="smallcaps">
    <w:name w:val="smallcaps"/>
    <w:basedOn w:val="DefaultParagraphFont"/>
    <w:rsid w:val="004B0CCA"/>
  </w:style>
  <w:style w:type="paragraph" w:styleId="ListContinue2">
    <w:name w:val="List Continue 2"/>
    <w:basedOn w:val="Normal"/>
    <w:uiPriority w:val="99"/>
    <w:unhideWhenUsed/>
    <w:rsid w:val="0058482C"/>
    <w:pPr>
      <w:spacing w:after="120"/>
      <w:ind w:left="720"/>
      <w:contextualSpacing/>
    </w:pPr>
  </w:style>
  <w:style w:type="paragraph" w:styleId="BodyText">
    <w:name w:val="Body Text"/>
    <w:basedOn w:val="Normal"/>
    <w:link w:val="BodyTextChar"/>
    <w:uiPriority w:val="99"/>
    <w:unhideWhenUsed/>
    <w:rsid w:val="0058482C"/>
    <w:pPr>
      <w:spacing w:after="120"/>
    </w:pPr>
  </w:style>
  <w:style w:type="character" w:customStyle="1" w:styleId="BodyTextChar">
    <w:name w:val="Body Text Char"/>
    <w:basedOn w:val="DefaultParagraphFont"/>
    <w:link w:val="BodyText"/>
    <w:uiPriority w:val="99"/>
    <w:rsid w:val="0058482C"/>
  </w:style>
  <w:style w:type="paragraph" w:styleId="BodyTextIndent">
    <w:name w:val="Body Text Indent"/>
    <w:basedOn w:val="Normal"/>
    <w:link w:val="BodyTextIndentChar"/>
    <w:uiPriority w:val="99"/>
    <w:semiHidden/>
    <w:unhideWhenUsed/>
    <w:rsid w:val="0058482C"/>
    <w:pPr>
      <w:spacing w:after="120"/>
      <w:ind w:left="360"/>
    </w:pPr>
  </w:style>
  <w:style w:type="character" w:customStyle="1" w:styleId="BodyTextIndentChar">
    <w:name w:val="Body Text Indent Char"/>
    <w:basedOn w:val="DefaultParagraphFont"/>
    <w:link w:val="BodyTextIndent"/>
    <w:uiPriority w:val="99"/>
    <w:semiHidden/>
    <w:rsid w:val="0058482C"/>
  </w:style>
  <w:style w:type="paragraph" w:styleId="BodyTextFirstIndent2">
    <w:name w:val="Body Text First Indent 2"/>
    <w:basedOn w:val="BodyTextIndent"/>
    <w:link w:val="BodyTextFirstIndent2Char"/>
    <w:uiPriority w:val="99"/>
    <w:unhideWhenUsed/>
    <w:rsid w:val="0058482C"/>
    <w:pPr>
      <w:spacing w:after="160"/>
      <w:ind w:firstLine="360"/>
    </w:pPr>
  </w:style>
  <w:style w:type="character" w:customStyle="1" w:styleId="BodyTextFirstIndent2Char">
    <w:name w:val="Body Text First Indent 2 Char"/>
    <w:basedOn w:val="BodyTextIndentChar"/>
    <w:link w:val="BodyTextFirstIndent2"/>
    <w:uiPriority w:val="99"/>
    <w:rsid w:val="0058482C"/>
  </w:style>
  <w:style w:type="paragraph" w:styleId="Revision">
    <w:name w:val="Revision"/>
    <w:hidden/>
    <w:uiPriority w:val="99"/>
    <w:semiHidden/>
    <w:rsid w:val="001034F6"/>
    <w:pPr>
      <w:spacing w:after="0" w:line="240" w:lineRule="auto"/>
    </w:pPr>
  </w:style>
  <w:style w:type="paragraph" w:styleId="TOC3">
    <w:name w:val="toc 3"/>
    <w:basedOn w:val="Normal"/>
    <w:next w:val="Normal"/>
    <w:autoRedefine/>
    <w:uiPriority w:val="39"/>
    <w:unhideWhenUsed/>
    <w:rsid w:val="00B679CD"/>
    <w:pPr>
      <w:spacing w:after="0"/>
      <w:ind w:left="440"/>
    </w:pPr>
    <w:rPr>
      <w:sz w:val="20"/>
      <w:szCs w:val="20"/>
    </w:rPr>
  </w:style>
  <w:style w:type="paragraph" w:styleId="TOC4">
    <w:name w:val="toc 4"/>
    <w:basedOn w:val="Normal"/>
    <w:next w:val="Normal"/>
    <w:autoRedefine/>
    <w:uiPriority w:val="39"/>
    <w:semiHidden/>
    <w:unhideWhenUsed/>
    <w:rsid w:val="00B679CD"/>
    <w:pPr>
      <w:spacing w:after="0"/>
      <w:ind w:left="660"/>
    </w:pPr>
    <w:rPr>
      <w:sz w:val="20"/>
      <w:szCs w:val="20"/>
    </w:rPr>
  </w:style>
  <w:style w:type="paragraph" w:styleId="TOC5">
    <w:name w:val="toc 5"/>
    <w:basedOn w:val="Normal"/>
    <w:next w:val="Normal"/>
    <w:autoRedefine/>
    <w:uiPriority w:val="39"/>
    <w:semiHidden/>
    <w:unhideWhenUsed/>
    <w:rsid w:val="00B679CD"/>
    <w:pPr>
      <w:spacing w:after="0"/>
      <w:ind w:left="880"/>
    </w:pPr>
    <w:rPr>
      <w:sz w:val="20"/>
      <w:szCs w:val="20"/>
    </w:rPr>
  </w:style>
  <w:style w:type="paragraph" w:styleId="TOC6">
    <w:name w:val="toc 6"/>
    <w:basedOn w:val="Normal"/>
    <w:next w:val="Normal"/>
    <w:autoRedefine/>
    <w:uiPriority w:val="39"/>
    <w:semiHidden/>
    <w:unhideWhenUsed/>
    <w:rsid w:val="00B679CD"/>
    <w:pPr>
      <w:spacing w:after="0"/>
      <w:ind w:left="1100"/>
    </w:pPr>
    <w:rPr>
      <w:sz w:val="20"/>
      <w:szCs w:val="20"/>
    </w:rPr>
  </w:style>
  <w:style w:type="paragraph" w:styleId="TOC7">
    <w:name w:val="toc 7"/>
    <w:basedOn w:val="Normal"/>
    <w:next w:val="Normal"/>
    <w:autoRedefine/>
    <w:uiPriority w:val="39"/>
    <w:semiHidden/>
    <w:unhideWhenUsed/>
    <w:rsid w:val="00B679CD"/>
    <w:pPr>
      <w:spacing w:after="0"/>
      <w:ind w:left="1320"/>
    </w:pPr>
    <w:rPr>
      <w:sz w:val="20"/>
      <w:szCs w:val="20"/>
    </w:rPr>
  </w:style>
  <w:style w:type="paragraph" w:styleId="TOC8">
    <w:name w:val="toc 8"/>
    <w:basedOn w:val="Normal"/>
    <w:next w:val="Normal"/>
    <w:autoRedefine/>
    <w:uiPriority w:val="39"/>
    <w:semiHidden/>
    <w:unhideWhenUsed/>
    <w:rsid w:val="00B679CD"/>
    <w:pPr>
      <w:spacing w:after="0"/>
      <w:ind w:left="1540"/>
    </w:pPr>
    <w:rPr>
      <w:sz w:val="20"/>
      <w:szCs w:val="20"/>
    </w:rPr>
  </w:style>
  <w:style w:type="paragraph" w:styleId="TOC9">
    <w:name w:val="toc 9"/>
    <w:basedOn w:val="Normal"/>
    <w:next w:val="Normal"/>
    <w:autoRedefine/>
    <w:uiPriority w:val="39"/>
    <w:semiHidden/>
    <w:unhideWhenUsed/>
    <w:rsid w:val="00B679CD"/>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0130">
      <w:bodyDiv w:val="1"/>
      <w:marLeft w:val="0"/>
      <w:marRight w:val="0"/>
      <w:marTop w:val="0"/>
      <w:marBottom w:val="0"/>
      <w:divBdr>
        <w:top w:val="none" w:sz="0" w:space="0" w:color="auto"/>
        <w:left w:val="none" w:sz="0" w:space="0" w:color="auto"/>
        <w:bottom w:val="none" w:sz="0" w:space="0" w:color="auto"/>
        <w:right w:val="none" w:sz="0" w:space="0" w:color="auto"/>
      </w:divBdr>
    </w:div>
    <w:div w:id="21635927">
      <w:bodyDiv w:val="1"/>
      <w:marLeft w:val="0"/>
      <w:marRight w:val="0"/>
      <w:marTop w:val="0"/>
      <w:marBottom w:val="0"/>
      <w:divBdr>
        <w:top w:val="none" w:sz="0" w:space="0" w:color="auto"/>
        <w:left w:val="none" w:sz="0" w:space="0" w:color="auto"/>
        <w:bottom w:val="none" w:sz="0" w:space="0" w:color="auto"/>
        <w:right w:val="none" w:sz="0" w:space="0" w:color="auto"/>
      </w:divBdr>
    </w:div>
    <w:div w:id="274485158">
      <w:bodyDiv w:val="1"/>
      <w:marLeft w:val="0"/>
      <w:marRight w:val="0"/>
      <w:marTop w:val="0"/>
      <w:marBottom w:val="0"/>
      <w:divBdr>
        <w:top w:val="none" w:sz="0" w:space="0" w:color="auto"/>
        <w:left w:val="none" w:sz="0" w:space="0" w:color="auto"/>
        <w:bottom w:val="none" w:sz="0" w:space="0" w:color="auto"/>
        <w:right w:val="none" w:sz="0" w:space="0" w:color="auto"/>
      </w:divBdr>
    </w:div>
    <w:div w:id="446973334">
      <w:bodyDiv w:val="1"/>
      <w:marLeft w:val="0"/>
      <w:marRight w:val="0"/>
      <w:marTop w:val="0"/>
      <w:marBottom w:val="0"/>
      <w:divBdr>
        <w:top w:val="none" w:sz="0" w:space="0" w:color="auto"/>
        <w:left w:val="none" w:sz="0" w:space="0" w:color="auto"/>
        <w:bottom w:val="none" w:sz="0" w:space="0" w:color="auto"/>
        <w:right w:val="none" w:sz="0" w:space="0" w:color="auto"/>
      </w:divBdr>
      <w:divsChild>
        <w:div w:id="76175598">
          <w:marLeft w:val="0"/>
          <w:marRight w:val="0"/>
          <w:marTop w:val="0"/>
          <w:marBottom w:val="0"/>
          <w:divBdr>
            <w:top w:val="none" w:sz="0" w:space="0" w:color="auto"/>
            <w:left w:val="none" w:sz="0" w:space="0" w:color="auto"/>
            <w:bottom w:val="none" w:sz="0" w:space="0" w:color="auto"/>
            <w:right w:val="none" w:sz="0" w:space="0" w:color="auto"/>
          </w:divBdr>
        </w:div>
        <w:div w:id="1096442521">
          <w:marLeft w:val="0"/>
          <w:marRight w:val="0"/>
          <w:marTop w:val="0"/>
          <w:marBottom w:val="0"/>
          <w:divBdr>
            <w:top w:val="none" w:sz="0" w:space="0" w:color="auto"/>
            <w:left w:val="none" w:sz="0" w:space="0" w:color="auto"/>
            <w:bottom w:val="none" w:sz="0" w:space="0" w:color="auto"/>
            <w:right w:val="none" w:sz="0" w:space="0" w:color="auto"/>
          </w:divBdr>
        </w:div>
        <w:div w:id="594871417">
          <w:marLeft w:val="0"/>
          <w:marRight w:val="0"/>
          <w:marTop w:val="0"/>
          <w:marBottom w:val="0"/>
          <w:divBdr>
            <w:top w:val="none" w:sz="0" w:space="0" w:color="auto"/>
            <w:left w:val="none" w:sz="0" w:space="0" w:color="auto"/>
            <w:bottom w:val="none" w:sz="0" w:space="0" w:color="auto"/>
            <w:right w:val="none" w:sz="0" w:space="0" w:color="auto"/>
          </w:divBdr>
        </w:div>
      </w:divsChild>
    </w:div>
    <w:div w:id="484472541">
      <w:bodyDiv w:val="1"/>
      <w:marLeft w:val="0"/>
      <w:marRight w:val="0"/>
      <w:marTop w:val="0"/>
      <w:marBottom w:val="0"/>
      <w:divBdr>
        <w:top w:val="none" w:sz="0" w:space="0" w:color="auto"/>
        <w:left w:val="none" w:sz="0" w:space="0" w:color="auto"/>
        <w:bottom w:val="none" w:sz="0" w:space="0" w:color="auto"/>
        <w:right w:val="none" w:sz="0" w:space="0" w:color="auto"/>
      </w:divBdr>
    </w:div>
    <w:div w:id="907112434">
      <w:bodyDiv w:val="1"/>
      <w:marLeft w:val="0"/>
      <w:marRight w:val="0"/>
      <w:marTop w:val="0"/>
      <w:marBottom w:val="0"/>
      <w:divBdr>
        <w:top w:val="none" w:sz="0" w:space="0" w:color="auto"/>
        <w:left w:val="none" w:sz="0" w:space="0" w:color="auto"/>
        <w:bottom w:val="none" w:sz="0" w:space="0" w:color="auto"/>
        <w:right w:val="none" w:sz="0" w:space="0" w:color="auto"/>
      </w:divBdr>
      <w:divsChild>
        <w:div w:id="1186289947">
          <w:marLeft w:val="0"/>
          <w:marRight w:val="0"/>
          <w:marTop w:val="0"/>
          <w:marBottom w:val="0"/>
          <w:divBdr>
            <w:top w:val="none" w:sz="0" w:space="0" w:color="auto"/>
            <w:left w:val="none" w:sz="0" w:space="0" w:color="auto"/>
            <w:bottom w:val="none" w:sz="0" w:space="0" w:color="auto"/>
            <w:right w:val="none" w:sz="0" w:space="0" w:color="auto"/>
          </w:divBdr>
        </w:div>
        <w:div w:id="1962883178">
          <w:marLeft w:val="0"/>
          <w:marRight w:val="0"/>
          <w:marTop w:val="0"/>
          <w:marBottom w:val="0"/>
          <w:divBdr>
            <w:top w:val="none" w:sz="0" w:space="0" w:color="auto"/>
            <w:left w:val="none" w:sz="0" w:space="0" w:color="auto"/>
            <w:bottom w:val="none" w:sz="0" w:space="0" w:color="auto"/>
            <w:right w:val="none" w:sz="0" w:space="0" w:color="auto"/>
          </w:divBdr>
        </w:div>
        <w:div w:id="1151949048">
          <w:marLeft w:val="0"/>
          <w:marRight w:val="0"/>
          <w:marTop w:val="0"/>
          <w:marBottom w:val="0"/>
          <w:divBdr>
            <w:top w:val="none" w:sz="0" w:space="0" w:color="auto"/>
            <w:left w:val="none" w:sz="0" w:space="0" w:color="auto"/>
            <w:bottom w:val="none" w:sz="0" w:space="0" w:color="auto"/>
            <w:right w:val="none" w:sz="0" w:space="0" w:color="auto"/>
          </w:divBdr>
        </w:div>
      </w:divsChild>
    </w:div>
    <w:div w:id="921446957">
      <w:bodyDiv w:val="1"/>
      <w:marLeft w:val="0"/>
      <w:marRight w:val="0"/>
      <w:marTop w:val="0"/>
      <w:marBottom w:val="0"/>
      <w:divBdr>
        <w:top w:val="none" w:sz="0" w:space="0" w:color="auto"/>
        <w:left w:val="none" w:sz="0" w:space="0" w:color="auto"/>
        <w:bottom w:val="none" w:sz="0" w:space="0" w:color="auto"/>
        <w:right w:val="none" w:sz="0" w:space="0" w:color="auto"/>
      </w:divBdr>
    </w:div>
    <w:div w:id="992295000">
      <w:bodyDiv w:val="1"/>
      <w:marLeft w:val="0"/>
      <w:marRight w:val="0"/>
      <w:marTop w:val="0"/>
      <w:marBottom w:val="0"/>
      <w:divBdr>
        <w:top w:val="none" w:sz="0" w:space="0" w:color="auto"/>
        <w:left w:val="none" w:sz="0" w:space="0" w:color="auto"/>
        <w:bottom w:val="none" w:sz="0" w:space="0" w:color="auto"/>
        <w:right w:val="none" w:sz="0" w:space="0" w:color="auto"/>
      </w:divBdr>
    </w:div>
    <w:div w:id="1187867009">
      <w:bodyDiv w:val="1"/>
      <w:marLeft w:val="0"/>
      <w:marRight w:val="0"/>
      <w:marTop w:val="0"/>
      <w:marBottom w:val="0"/>
      <w:divBdr>
        <w:top w:val="none" w:sz="0" w:space="0" w:color="auto"/>
        <w:left w:val="none" w:sz="0" w:space="0" w:color="auto"/>
        <w:bottom w:val="none" w:sz="0" w:space="0" w:color="auto"/>
        <w:right w:val="none" w:sz="0" w:space="0" w:color="auto"/>
      </w:divBdr>
    </w:div>
    <w:div w:id="1212381877">
      <w:bodyDiv w:val="1"/>
      <w:marLeft w:val="0"/>
      <w:marRight w:val="0"/>
      <w:marTop w:val="0"/>
      <w:marBottom w:val="0"/>
      <w:divBdr>
        <w:top w:val="none" w:sz="0" w:space="0" w:color="auto"/>
        <w:left w:val="none" w:sz="0" w:space="0" w:color="auto"/>
        <w:bottom w:val="none" w:sz="0" w:space="0" w:color="auto"/>
        <w:right w:val="none" w:sz="0" w:space="0" w:color="auto"/>
      </w:divBdr>
    </w:div>
    <w:div w:id="1370259091">
      <w:bodyDiv w:val="1"/>
      <w:marLeft w:val="0"/>
      <w:marRight w:val="0"/>
      <w:marTop w:val="0"/>
      <w:marBottom w:val="0"/>
      <w:divBdr>
        <w:top w:val="none" w:sz="0" w:space="0" w:color="auto"/>
        <w:left w:val="none" w:sz="0" w:space="0" w:color="auto"/>
        <w:bottom w:val="none" w:sz="0" w:space="0" w:color="auto"/>
        <w:right w:val="none" w:sz="0" w:space="0" w:color="auto"/>
      </w:divBdr>
    </w:div>
    <w:div w:id="1518420367">
      <w:bodyDiv w:val="1"/>
      <w:marLeft w:val="0"/>
      <w:marRight w:val="0"/>
      <w:marTop w:val="0"/>
      <w:marBottom w:val="0"/>
      <w:divBdr>
        <w:top w:val="none" w:sz="0" w:space="0" w:color="auto"/>
        <w:left w:val="none" w:sz="0" w:space="0" w:color="auto"/>
        <w:bottom w:val="none" w:sz="0" w:space="0" w:color="auto"/>
        <w:right w:val="none" w:sz="0" w:space="0" w:color="auto"/>
      </w:divBdr>
    </w:div>
    <w:div w:id="1576089386">
      <w:bodyDiv w:val="1"/>
      <w:marLeft w:val="0"/>
      <w:marRight w:val="0"/>
      <w:marTop w:val="0"/>
      <w:marBottom w:val="0"/>
      <w:divBdr>
        <w:top w:val="none" w:sz="0" w:space="0" w:color="auto"/>
        <w:left w:val="none" w:sz="0" w:space="0" w:color="auto"/>
        <w:bottom w:val="none" w:sz="0" w:space="0" w:color="auto"/>
        <w:right w:val="none" w:sz="0" w:space="0" w:color="auto"/>
      </w:divBdr>
      <w:divsChild>
        <w:div w:id="431707037">
          <w:marLeft w:val="0"/>
          <w:marRight w:val="0"/>
          <w:marTop w:val="0"/>
          <w:marBottom w:val="0"/>
          <w:divBdr>
            <w:top w:val="none" w:sz="0" w:space="0" w:color="auto"/>
            <w:left w:val="none" w:sz="0" w:space="0" w:color="auto"/>
            <w:bottom w:val="none" w:sz="0" w:space="0" w:color="auto"/>
            <w:right w:val="none" w:sz="0" w:space="0" w:color="auto"/>
          </w:divBdr>
        </w:div>
        <w:div w:id="1541287475">
          <w:marLeft w:val="0"/>
          <w:marRight w:val="0"/>
          <w:marTop w:val="0"/>
          <w:marBottom w:val="0"/>
          <w:divBdr>
            <w:top w:val="none" w:sz="0" w:space="0" w:color="auto"/>
            <w:left w:val="none" w:sz="0" w:space="0" w:color="auto"/>
            <w:bottom w:val="none" w:sz="0" w:space="0" w:color="auto"/>
            <w:right w:val="none" w:sz="0" w:space="0" w:color="auto"/>
          </w:divBdr>
          <w:divsChild>
            <w:div w:id="163625043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0259435">
      <w:bodyDiv w:val="1"/>
      <w:marLeft w:val="0"/>
      <w:marRight w:val="0"/>
      <w:marTop w:val="0"/>
      <w:marBottom w:val="0"/>
      <w:divBdr>
        <w:top w:val="none" w:sz="0" w:space="0" w:color="auto"/>
        <w:left w:val="none" w:sz="0" w:space="0" w:color="auto"/>
        <w:bottom w:val="none" w:sz="0" w:space="0" w:color="auto"/>
        <w:right w:val="none" w:sz="0" w:space="0" w:color="auto"/>
      </w:divBdr>
    </w:div>
    <w:div w:id="1656299970">
      <w:bodyDiv w:val="1"/>
      <w:marLeft w:val="0"/>
      <w:marRight w:val="0"/>
      <w:marTop w:val="0"/>
      <w:marBottom w:val="0"/>
      <w:divBdr>
        <w:top w:val="none" w:sz="0" w:space="0" w:color="auto"/>
        <w:left w:val="none" w:sz="0" w:space="0" w:color="auto"/>
        <w:bottom w:val="none" w:sz="0" w:space="0" w:color="auto"/>
        <w:right w:val="none" w:sz="0" w:space="0" w:color="auto"/>
      </w:divBdr>
    </w:div>
    <w:div w:id="1785537551">
      <w:bodyDiv w:val="1"/>
      <w:marLeft w:val="0"/>
      <w:marRight w:val="0"/>
      <w:marTop w:val="0"/>
      <w:marBottom w:val="0"/>
      <w:divBdr>
        <w:top w:val="none" w:sz="0" w:space="0" w:color="auto"/>
        <w:left w:val="none" w:sz="0" w:space="0" w:color="auto"/>
        <w:bottom w:val="none" w:sz="0" w:space="0" w:color="auto"/>
        <w:right w:val="none" w:sz="0" w:space="0" w:color="auto"/>
      </w:divBdr>
    </w:div>
    <w:div w:id="1939562283">
      <w:bodyDiv w:val="1"/>
      <w:marLeft w:val="0"/>
      <w:marRight w:val="0"/>
      <w:marTop w:val="0"/>
      <w:marBottom w:val="0"/>
      <w:divBdr>
        <w:top w:val="none" w:sz="0" w:space="0" w:color="auto"/>
        <w:left w:val="none" w:sz="0" w:space="0" w:color="auto"/>
        <w:bottom w:val="none" w:sz="0" w:space="0" w:color="auto"/>
        <w:right w:val="none" w:sz="0" w:space="0" w:color="auto"/>
      </w:divBdr>
    </w:div>
    <w:div w:id="20512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bc.com/news/world-africa-20845887" TargetMode="External"/><Relationship Id="rId2" Type="http://schemas.openxmlformats.org/officeDocument/2006/relationships/hyperlink" Target="https://www.aljazeera.com/news/2023/8/1/timeline-a-history-of-ecowas-military-interventions-in-three-decades" TargetMode="External"/><Relationship Id="rId1" Type="http://schemas.openxmlformats.org/officeDocument/2006/relationships/hyperlink" Target="https://plato.stanford.edu/entries/sovereignty/" TargetMode="External"/><Relationship Id="rId5" Type="http://schemas.openxmlformats.org/officeDocument/2006/relationships/hyperlink" Target="https://www.aljazeera.com/opinions/2014/2/11/france-in-central-africa-the-reluctant-interventionist" TargetMode="External"/><Relationship Id="rId4" Type="http://schemas.openxmlformats.org/officeDocument/2006/relationships/hyperlink" Target="https://www.theguardian.com/world/2013/feb/05/france-centralafrican-republic-mali-inter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8989-8373-4285-8832-982CF019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50</Pages>
  <Words>14868</Words>
  <Characters>71221</Characters>
  <Application>Microsoft Office Word</Application>
  <DocSecurity>0</DocSecurity>
  <Lines>989</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mathias</dc:creator>
  <cp:keywords/>
  <dc:description/>
  <cp:lastModifiedBy>Samira Mathias</cp:lastModifiedBy>
  <cp:revision>4</cp:revision>
  <cp:lastPrinted>2025-03-01T22:00:00Z</cp:lastPrinted>
  <dcterms:created xsi:type="dcterms:W3CDTF">2025-03-01T22:00:00Z</dcterms:created>
  <dcterms:modified xsi:type="dcterms:W3CDTF">2025-04-03T01:27:00Z</dcterms:modified>
</cp:coreProperties>
</file>