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D82F" w14:textId="77777777" w:rsidR="00E56C1E" w:rsidRDefault="00E56C1E" w:rsidP="00E56C1E">
      <w:pPr>
        <w:pStyle w:val="SectionHead"/>
      </w:pPr>
      <w:r>
        <w:t>NOTE</w:t>
      </w:r>
    </w:p>
    <w:p w14:paraId="76BBE925" w14:textId="77777777" w:rsidR="00E56C1E" w:rsidRPr="00E56C1E" w:rsidRDefault="00E56C1E" w:rsidP="00E56C1E">
      <w:pPr>
        <w:pStyle w:val="Head1-Articles"/>
      </w:pPr>
      <w:r w:rsidRPr="00E56C1E">
        <w:t>Predictive Policing and the Implications of AI Across Global Frameworks</w:t>
      </w:r>
    </w:p>
    <w:p w14:paraId="1DA01695" w14:textId="77777777" w:rsidR="00E56C1E" w:rsidRPr="00E56C1E" w:rsidRDefault="00E56C1E" w:rsidP="00E56C1E">
      <w:pPr>
        <w:pStyle w:val="AuthorName1-Articles"/>
      </w:pPr>
      <w:r w:rsidRPr="00E56C1E">
        <w:t>Jacqueline Hahn</w:t>
      </w:r>
      <w:r w:rsidR="00C40261" w:rsidRPr="00C40261">
        <w:footnoteReference w:customMarkFollows="1" w:id="2"/>
        <w:t>†</w:t>
      </w:r>
    </w:p>
    <w:p w14:paraId="6FA40554" w14:textId="37D5436E" w:rsidR="00E56C1E" w:rsidRPr="00B0752C" w:rsidRDefault="4661E5C6" w:rsidP="00E56C1E">
      <w:pPr>
        <w:pStyle w:val="Document"/>
        <w:rPr>
          <w:i/>
          <w:iCs/>
        </w:rPr>
      </w:pPr>
      <w:r w:rsidRPr="003804F3">
        <w:rPr>
          <w:i/>
          <w:iCs/>
        </w:rPr>
        <w:t>Predictive policing algorithms, which use artificial intelligence (AI) to forecast potential criminal activity and allocate resources, are transforming law enforcement across the globe.  This Note examines the ethical, legal, and social implications of implementing predictive policing technologies across various countries</w:t>
      </w:r>
      <w:r w:rsidR="000864A3">
        <w:rPr>
          <w:i/>
          <w:iCs/>
        </w:rPr>
        <w:t>—</w:t>
      </w:r>
      <w:r w:rsidRPr="003804F3">
        <w:rPr>
          <w:i/>
          <w:iCs/>
        </w:rPr>
        <w:t>including the United States, China, India, and the European Union (EU).  While AI offers benefits such as improved efficiency and crime prevention, its use raises significant concerns about discrimination, bias, and privacy violations. Countries face balancing public safety with their respective philosophies regarding individual rights. The EU is currently the leader in AI regulation, with legal frameworks such as the General Data Protection Regulation (GDPR) and the AI Act.  At the same time, nations like China prioritize security, often at the expense of privacy. Th</w:t>
      </w:r>
      <w:r w:rsidR="0078656A">
        <w:rPr>
          <w:i/>
          <w:iCs/>
        </w:rPr>
        <w:t>is</w:t>
      </w:r>
      <w:r w:rsidRPr="00B0752C">
        <w:rPr>
          <w:i/>
          <w:iCs/>
        </w:rPr>
        <w:t xml:space="preserve"> analysis underscores the importance of certain philosophies, such as transparent, accountable, and equitable values, in integrating AI technologies into law enforcement practices.</w:t>
      </w:r>
    </w:p>
    <w:p w14:paraId="672A6659" w14:textId="77777777" w:rsidR="00C40261" w:rsidRDefault="00C40261" w:rsidP="00E56C1E">
      <w:pPr>
        <w:pStyle w:val="Document"/>
        <w:rPr>
          <w:szCs w:val="24"/>
        </w:rPr>
      </w:pPr>
    </w:p>
    <w:p w14:paraId="3E61941D" w14:textId="77777777" w:rsidR="00C40261" w:rsidRDefault="00C40261">
      <w:pPr>
        <w:pStyle w:val="TOC10"/>
        <w:rPr>
          <w:rFonts w:asciiTheme="minorHAnsi" w:eastAsiaTheme="minorEastAsia" w:hAnsiTheme="minorHAnsi" w:cstheme="minorBidi"/>
          <w:noProof/>
          <w:sz w:val="22"/>
          <w:szCs w:val="22"/>
        </w:rPr>
      </w:pPr>
      <w:r>
        <w:fldChar w:fldCharType="begin"/>
      </w:r>
      <w:r>
        <w:instrText xml:space="preserve"> TOC \t "_Subhead1,1,_Subhead2,2,_Subhead3,3,_Subhead4,4,_Subhead5,5" </w:instrText>
      </w:r>
      <w:r>
        <w:fldChar w:fldCharType="separate"/>
      </w:r>
      <w:r w:rsidRPr="00C40261">
        <w:rPr>
          <w:b/>
          <w:noProof/>
        </w:rPr>
        <w:t>Introduction</w:t>
      </w:r>
      <w:r>
        <w:rPr>
          <w:noProof/>
        </w:rPr>
        <w:tab/>
      </w:r>
      <w:r>
        <w:rPr>
          <w:noProof/>
        </w:rPr>
        <w:fldChar w:fldCharType="begin"/>
      </w:r>
      <w:r>
        <w:rPr>
          <w:noProof/>
        </w:rPr>
        <w:instrText xml:space="preserve"> PAGEREF _Toc190939241 \h </w:instrText>
      </w:r>
      <w:r>
        <w:rPr>
          <w:noProof/>
        </w:rPr>
      </w:r>
      <w:r>
        <w:rPr>
          <w:noProof/>
        </w:rPr>
        <w:fldChar w:fldCharType="separate"/>
      </w:r>
      <w:r>
        <w:rPr>
          <w:noProof/>
        </w:rPr>
        <w:t>101</w:t>
      </w:r>
      <w:r>
        <w:rPr>
          <w:noProof/>
        </w:rPr>
        <w:fldChar w:fldCharType="end"/>
      </w:r>
    </w:p>
    <w:p w14:paraId="327BE2D7" w14:textId="77777777" w:rsidR="00C40261" w:rsidRDefault="00864DAD">
      <w:pPr>
        <w:pStyle w:val="TOC10"/>
        <w:rPr>
          <w:rFonts w:asciiTheme="minorHAnsi" w:eastAsiaTheme="minorEastAsia" w:hAnsiTheme="minorHAnsi" w:cstheme="minorBidi"/>
          <w:noProof/>
          <w:sz w:val="22"/>
          <w:szCs w:val="22"/>
        </w:rPr>
      </w:pPr>
      <w:r>
        <w:rPr>
          <w:b/>
          <w:noProof/>
        </w:rPr>
        <w:tab/>
      </w:r>
      <w:r w:rsidR="00C40261" w:rsidRPr="00C40261">
        <w:rPr>
          <w:b/>
          <w:noProof/>
        </w:rPr>
        <w:t>I.</w:t>
      </w:r>
      <w:r w:rsidR="00C40261" w:rsidRPr="00C40261">
        <w:rPr>
          <w:rFonts w:asciiTheme="minorHAnsi" w:eastAsiaTheme="minorEastAsia" w:hAnsiTheme="minorHAnsi" w:cstheme="minorBidi"/>
          <w:b/>
          <w:noProof/>
          <w:sz w:val="22"/>
          <w:szCs w:val="22"/>
        </w:rPr>
        <w:tab/>
      </w:r>
      <w:r w:rsidR="00C40261" w:rsidRPr="00C40261">
        <w:rPr>
          <w:b/>
          <w:noProof/>
        </w:rPr>
        <w:t>Predictive Policing Algorithms: Definition and Scope</w:t>
      </w:r>
      <w:r w:rsidR="00C40261">
        <w:rPr>
          <w:noProof/>
        </w:rPr>
        <w:tab/>
      </w:r>
      <w:r w:rsidR="00C40261">
        <w:rPr>
          <w:noProof/>
        </w:rPr>
        <w:fldChar w:fldCharType="begin"/>
      </w:r>
      <w:r w:rsidR="00C40261">
        <w:rPr>
          <w:noProof/>
        </w:rPr>
        <w:instrText xml:space="preserve"> PAGEREF _Toc190939242 \h </w:instrText>
      </w:r>
      <w:r w:rsidR="00C40261">
        <w:rPr>
          <w:noProof/>
        </w:rPr>
      </w:r>
      <w:r w:rsidR="00C40261">
        <w:rPr>
          <w:noProof/>
        </w:rPr>
        <w:fldChar w:fldCharType="separate"/>
      </w:r>
      <w:r w:rsidR="00C40261">
        <w:rPr>
          <w:noProof/>
        </w:rPr>
        <w:t>103</w:t>
      </w:r>
      <w:r w:rsidR="00C40261">
        <w:rPr>
          <w:noProof/>
        </w:rPr>
        <w:fldChar w:fldCharType="end"/>
      </w:r>
    </w:p>
    <w:p w14:paraId="7A8AD9F1" w14:textId="77777777" w:rsidR="00C40261" w:rsidRDefault="00864DAD">
      <w:pPr>
        <w:pStyle w:val="TOC10"/>
        <w:rPr>
          <w:rFonts w:asciiTheme="minorHAnsi" w:eastAsiaTheme="minorEastAsia" w:hAnsiTheme="minorHAnsi" w:cstheme="minorBidi"/>
          <w:noProof/>
          <w:sz w:val="22"/>
          <w:szCs w:val="22"/>
        </w:rPr>
      </w:pPr>
      <w:r>
        <w:rPr>
          <w:b/>
          <w:noProof/>
        </w:rPr>
        <w:tab/>
      </w:r>
      <w:r w:rsidR="00C40261" w:rsidRPr="00C40261">
        <w:rPr>
          <w:b/>
          <w:noProof/>
        </w:rPr>
        <w:t>II.</w:t>
      </w:r>
      <w:r w:rsidR="00C40261" w:rsidRPr="00C40261">
        <w:rPr>
          <w:rFonts w:asciiTheme="minorHAnsi" w:eastAsiaTheme="minorEastAsia" w:hAnsiTheme="minorHAnsi" w:cstheme="minorBidi"/>
          <w:b/>
          <w:noProof/>
          <w:sz w:val="22"/>
          <w:szCs w:val="22"/>
        </w:rPr>
        <w:tab/>
      </w:r>
      <w:r w:rsidR="00C40261" w:rsidRPr="00C40261">
        <w:rPr>
          <w:b/>
          <w:noProof/>
        </w:rPr>
        <w:t>Ethical Concerns and Legal Frameworks Surrounding AI</w:t>
      </w:r>
      <w:r w:rsidR="00C40261">
        <w:rPr>
          <w:noProof/>
        </w:rPr>
        <w:tab/>
      </w:r>
      <w:r w:rsidR="00C40261">
        <w:rPr>
          <w:noProof/>
        </w:rPr>
        <w:fldChar w:fldCharType="begin"/>
      </w:r>
      <w:r w:rsidR="00C40261">
        <w:rPr>
          <w:noProof/>
        </w:rPr>
        <w:instrText xml:space="preserve"> PAGEREF _Toc190939243 \h </w:instrText>
      </w:r>
      <w:r w:rsidR="00C40261">
        <w:rPr>
          <w:noProof/>
        </w:rPr>
      </w:r>
      <w:r w:rsidR="00C40261">
        <w:rPr>
          <w:noProof/>
        </w:rPr>
        <w:fldChar w:fldCharType="separate"/>
      </w:r>
      <w:r w:rsidR="00C40261">
        <w:rPr>
          <w:noProof/>
        </w:rPr>
        <w:t>105</w:t>
      </w:r>
      <w:r w:rsidR="00C40261">
        <w:rPr>
          <w:noProof/>
        </w:rPr>
        <w:fldChar w:fldCharType="end"/>
      </w:r>
    </w:p>
    <w:p w14:paraId="7B3CBCD8" w14:textId="77777777" w:rsidR="00C40261" w:rsidRDefault="00864DAD">
      <w:pPr>
        <w:pStyle w:val="TOC10"/>
        <w:rPr>
          <w:rFonts w:asciiTheme="minorHAnsi" w:eastAsiaTheme="minorEastAsia" w:hAnsiTheme="minorHAnsi" w:cstheme="minorBidi"/>
          <w:noProof/>
          <w:sz w:val="22"/>
          <w:szCs w:val="22"/>
        </w:rPr>
      </w:pPr>
      <w:r>
        <w:rPr>
          <w:b/>
          <w:noProof/>
        </w:rPr>
        <w:tab/>
      </w:r>
      <w:r w:rsidR="00C40261" w:rsidRPr="00C40261">
        <w:rPr>
          <w:b/>
          <w:noProof/>
        </w:rPr>
        <w:t>III.</w:t>
      </w:r>
      <w:r w:rsidR="00C40261" w:rsidRPr="00C40261">
        <w:rPr>
          <w:rFonts w:asciiTheme="minorHAnsi" w:eastAsiaTheme="minorEastAsia" w:hAnsiTheme="minorHAnsi" w:cstheme="minorBidi"/>
          <w:b/>
          <w:noProof/>
          <w:sz w:val="22"/>
          <w:szCs w:val="22"/>
        </w:rPr>
        <w:tab/>
      </w:r>
      <w:r w:rsidR="00C40261" w:rsidRPr="00C40261">
        <w:rPr>
          <w:b/>
          <w:noProof/>
        </w:rPr>
        <w:t>Global Use of Predictive Policing Algorithms</w:t>
      </w:r>
      <w:r w:rsidR="00C40261">
        <w:rPr>
          <w:noProof/>
        </w:rPr>
        <w:tab/>
      </w:r>
      <w:r w:rsidR="00C40261">
        <w:rPr>
          <w:noProof/>
        </w:rPr>
        <w:fldChar w:fldCharType="begin"/>
      </w:r>
      <w:r w:rsidR="00C40261">
        <w:rPr>
          <w:noProof/>
        </w:rPr>
        <w:instrText xml:space="preserve"> PAGEREF _Toc190939244 \h </w:instrText>
      </w:r>
      <w:r w:rsidR="00C40261">
        <w:rPr>
          <w:noProof/>
        </w:rPr>
      </w:r>
      <w:r w:rsidR="00C40261">
        <w:rPr>
          <w:noProof/>
        </w:rPr>
        <w:fldChar w:fldCharType="separate"/>
      </w:r>
      <w:r w:rsidR="00C40261">
        <w:rPr>
          <w:noProof/>
        </w:rPr>
        <w:t>107</w:t>
      </w:r>
      <w:r w:rsidR="00C40261">
        <w:rPr>
          <w:noProof/>
        </w:rPr>
        <w:fldChar w:fldCharType="end"/>
      </w:r>
    </w:p>
    <w:p w14:paraId="3603DBE5" w14:textId="77777777" w:rsidR="00C40261" w:rsidRDefault="00C40261">
      <w:pPr>
        <w:pStyle w:val="TOC20"/>
        <w:tabs>
          <w:tab w:val="left" w:pos="132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United States</w:t>
      </w:r>
      <w:r>
        <w:rPr>
          <w:noProof/>
        </w:rPr>
        <w:tab/>
      </w:r>
      <w:r>
        <w:rPr>
          <w:noProof/>
        </w:rPr>
        <w:fldChar w:fldCharType="begin"/>
      </w:r>
      <w:r>
        <w:rPr>
          <w:noProof/>
        </w:rPr>
        <w:instrText xml:space="preserve"> PAGEREF _Toc190939245 \h </w:instrText>
      </w:r>
      <w:r>
        <w:rPr>
          <w:noProof/>
        </w:rPr>
      </w:r>
      <w:r>
        <w:rPr>
          <w:noProof/>
        </w:rPr>
        <w:fldChar w:fldCharType="separate"/>
      </w:r>
      <w:r>
        <w:rPr>
          <w:noProof/>
        </w:rPr>
        <w:t>107</w:t>
      </w:r>
      <w:r>
        <w:rPr>
          <w:noProof/>
        </w:rPr>
        <w:fldChar w:fldCharType="end"/>
      </w:r>
    </w:p>
    <w:p w14:paraId="715FF093" w14:textId="77777777" w:rsidR="00C40261" w:rsidRDefault="00C40261">
      <w:pPr>
        <w:pStyle w:val="TOC20"/>
        <w:tabs>
          <w:tab w:val="left" w:pos="132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China</w:t>
      </w:r>
      <w:r>
        <w:rPr>
          <w:noProof/>
        </w:rPr>
        <w:tab/>
      </w:r>
      <w:r>
        <w:rPr>
          <w:noProof/>
        </w:rPr>
        <w:fldChar w:fldCharType="begin"/>
      </w:r>
      <w:r>
        <w:rPr>
          <w:noProof/>
        </w:rPr>
        <w:instrText xml:space="preserve"> PAGEREF _Toc190939246 \h </w:instrText>
      </w:r>
      <w:r>
        <w:rPr>
          <w:noProof/>
        </w:rPr>
      </w:r>
      <w:r>
        <w:rPr>
          <w:noProof/>
        </w:rPr>
        <w:fldChar w:fldCharType="separate"/>
      </w:r>
      <w:r>
        <w:rPr>
          <w:noProof/>
        </w:rPr>
        <w:t>110</w:t>
      </w:r>
      <w:r>
        <w:rPr>
          <w:noProof/>
        </w:rPr>
        <w:fldChar w:fldCharType="end"/>
      </w:r>
    </w:p>
    <w:p w14:paraId="2219D40F" w14:textId="77777777" w:rsidR="00C40261" w:rsidRDefault="00C40261">
      <w:pPr>
        <w:pStyle w:val="TOC20"/>
        <w:tabs>
          <w:tab w:val="left" w:pos="132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India</w:t>
      </w:r>
      <w:r>
        <w:rPr>
          <w:noProof/>
        </w:rPr>
        <w:tab/>
      </w:r>
      <w:r>
        <w:rPr>
          <w:noProof/>
        </w:rPr>
        <w:fldChar w:fldCharType="begin"/>
      </w:r>
      <w:r>
        <w:rPr>
          <w:noProof/>
        </w:rPr>
        <w:instrText xml:space="preserve"> PAGEREF _Toc190939247 \h </w:instrText>
      </w:r>
      <w:r>
        <w:rPr>
          <w:noProof/>
        </w:rPr>
      </w:r>
      <w:r>
        <w:rPr>
          <w:noProof/>
        </w:rPr>
        <w:fldChar w:fldCharType="separate"/>
      </w:r>
      <w:r>
        <w:rPr>
          <w:noProof/>
        </w:rPr>
        <w:t>112</w:t>
      </w:r>
      <w:r>
        <w:rPr>
          <w:noProof/>
        </w:rPr>
        <w:fldChar w:fldCharType="end"/>
      </w:r>
    </w:p>
    <w:p w14:paraId="0DF221F5" w14:textId="77777777" w:rsidR="00C40261" w:rsidRDefault="00C40261">
      <w:pPr>
        <w:pStyle w:val="TOC20"/>
        <w:tabs>
          <w:tab w:val="left" w:pos="132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European Union (EU)</w:t>
      </w:r>
      <w:r>
        <w:rPr>
          <w:noProof/>
        </w:rPr>
        <w:tab/>
      </w:r>
      <w:r>
        <w:rPr>
          <w:noProof/>
        </w:rPr>
        <w:fldChar w:fldCharType="begin"/>
      </w:r>
      <w:r>
        <w:rPr>
          <w:noProof/>
        </w:rPr>
        <w:instrText xml:space="preserve"> PAGEREF _Toc190939248 \h </w:instrText>
      </w:r>
      <w:r>
        <w:rPr>
          <w:noProof/>
        </w:rPr>
      </w:r>
      <w:r>
        <w:rPr>
          <w:noProof/>
        </w:rPr>
        <w:fldChar w:fldCharType="separate"/>
      </w:r>
      <w:r>
        <w:rPr>
          <w:noProof/>
        </w:rPr>
        <w:t>114</w:t>
      </w:r>
      <w:r>
        <w:rPr>
          <w:noProof/>
        </w:rPr>
        <w:fldChar w:fldCharType="end"/>
      </w:r>
    </w:p>
    <w:p w14:paraId="3810CB9F" w14:textId="77777777" w:rsidR="00C40261" w:rsidRDefault="00C40261">
      <w:pPr>
        <w:pStyle w:val="TOC20"/>
        <w:tabs>
          <w:tab w:val="left" w:pos="1320"/>
        </w:tabs>
        <w:rPr>
          <w:rFonts w:asciiTheme="minorHAnsi" w:eastAsiaTheme="minorEastAsia" w:hAnsiTheme="minorHAnsi" w:cstheme="minorBidi"/>
          <w:noProof/>
          <w:sz w:val="22"/>
          <w:szCs w:val="22"/>
        </w:rPr>
      </w:pPr>
      <w:r>
        <w:rPr>
          <w:noProof/>
        </w:rPr>
        <w:t>E.</w:t>
      </w:r>
      <w:r>
        <w:rPr>
          <w:rFonts w:asciiTheme="minorHAnsi" w:eastAsiaTheme="minorEastAsia" w:hAnsiTheme="minorHAnsi" w:cstheme="minorBidi"/>
          <w:noProof/>
          <w:sz w:val="22"/>
          <w:szCs w:val="22"/>
        </w:rPr>
        <w:tab/>
      </w:r>
      <w:r>
        <w:rPr>
          <w:noProof/>
        </w:rPr>
        <w:t>Germany</w:t>
      </w:r>
      <w:r>
        <w:rPr>
          <w:noProof/>
        </w:rPr>
        <w:tab/>
      </w:r>
      <w:r>
        <w:rPr>
          <w:noProof/>
        </w:rPr>
        <w:fldChar w:fldCharType="begin"/>
      </w:r>
      <w:r>
        <w:rPr>
          <w:noProof/>
        </w:rPr>
        <w:instrText xml:space="preserve"> PAGEREF _Toc190939249 \h </w:instrText>
      </w:r>
      <w:r>
        <w:rPr>
          <w:noProof/>
        </w:rPr>
      </w:r>
      <w:r>
        <w:rPr>
          <w:noProof/>
        </w:rPr>
        <w:fldChar w:fldCharType="separate"/>
      </w:r>
      <w:r>
        <w:rPr>
          <w:noProof/>
        </w:rPr>
        <w:t>116</w:t>
      </w:r>
      <w:r>
        <w:rPr>
          <w:noProof/>
        </w:rPr>
        <w:fldChar w:fldCharType="end"/>
      </w:r>
    </w:p>
    <w:p w14:paraId="0A5D58DD" w14:textId="77777777" w:rsidR="00C40261" w:rsidRDefault="00864DAD">
      <w:pPr>
        <w:pStyle w:val="TOC10"/>
        <w:rPr>
          <w:rFonts w:asciiTheme="minorHAnsi" w:eastAsiaTheme="minorEastAsia" w:hAnsiTheme="minorHAnsi" w:cstheme="minorBidi"/>
          <w:noProof/>
          <w:sz w:val="22"/>
          <w:szCs w:val="22"/>
        </w:rPr>
      </w:pPr>
      <w:r>
        <w:rPr>
          <w:b/>
          <w:noProof/>
        </w:rPr>
        <w:tab/>
      </w:r>
      <w:r w:rsidR="00C40261" w:rsidRPr="00C40261">
        <w:rPr>
          <w:b/>
          <w:noProof/>
        </w:rPr>
        <w:t>IV.</w:t>
      </w:r>
      <w:r w:rsidR="00C40261" w:rsidRPr="00C40261">
        <w:rPr>
          <w:rFonts w:asciiTheme="minorHAnsi" w:eastAsiaTheme="minorEastAsia" w:hAnsiTheme="minorHAnsi" w:cstheme="minorBidi"/>
          <w:b/>
          <w:noProof/>
          <w:sz w:val="22"/>
          <w:szCs w:val="22"/>
        </w:rPr>
        <w:tab/>
      </w:r>
      <w:r w:rsidR="00C40261" w:rsidRPr="00C40261">
        <w:rPr>
          <w:b/>
          <w:noProof/>
        </w:rPr>
        <w:t>Comparative Analysis of Policing Philosophies</w:t>
      </w:r>
      <w:r w:rsidR="00C40261">
        <w:rPr>
          <w:noProof/>
        </w:rPr>
        <w:tab/>
      </w:r>
      <w:r w:rsidR="00C40261">
        <w:rPr>
          <w:noProof/>
        </w:rPr>
        <w:fldChar w:fldCharType="begin"/>
      </w:r>
      <w:r w:rsidR="00C40261">
        <w:rPr>
          <w:noProof/>
        </w:rPr>
        <w:instrText xml:space="preserve"> PAGEREF _Toc190939250 \h </w:instrText>
      </w:r>
      <w:r w:rsidR="00C40261">
        <w:rPr>
          <w:noProof/>
        </w:rPr>
      </w:r>
      <w:r w:rsidR="00C40261">
        <w:rPr>
          <w:noProof/>
        </w:rPr>
        <w:fldChar w:fldCharType="separate"/>
      </w:r>
      <w:r w:rsidR="00C40261">
        <w:rPr>
          <w:noProof/>
        </w:rPr>
        <w:t>118</w:t>
      </w:r>
      <w:r w:rsidR="00C40261">
        <w:rPr>
          <w:noProof/>
        </w:rPr>
        <w:fldChar w:fldCharType="end"/>
      </w:r>
    </w:p>
    <w:p w14:paraId="26E1565E" w14:textId="77777777" w:rsidR="00C40261" w:rsidRDefault="00864DAD">
      <w:pPr>
        <w:pStyle w:val="TOC10"/>
        <w:rPr>
          <w:rFonts w:asciiTheme="minorHAnsi" w:eastAsiaTheme="minorEastAsia" w:hAnsiTheme="minorHAnsi" w:cstheme="minorBidi"/>
          <w:noProof/>
          <w:sz w:val="22"/>
          <w:szCs w:val="22"/>
        </w:rPr>
      </w:pPr>
      <w:r>
        <w:rPr>
          <w:b/>
          <w:noProof/>
        </w:rPr>
        <w:tab/>
      </w:r>
      <w:r w:rsidR="00C40261" w:rsidRPr="00C40261">
        <w:rPr>
          <w:b/>
          <w:noProof/>
        </w:rPr>
        <w:t xml:space="preserve">V. </w:t>
      </w:r>
      <w:r>
        <w:rPr>
          <w:b/>
          <w:noProof/>
        </w:rPr>
        <w:tab/>
      </w:r>
      <w:r w:rsidR="00C40261" w:rsidRPr="00C40261">
        <w:rPr>
          <w:b/>
          <w:noProof/>
        </w:rPr>
        <w:t>he Future of AI in Predictive Policing</w:t>
      </w:r>
      <w:r w:rsidR="00C40261">
        <w:rPr>
          <w:noProof/>
        </w:rPr>
        <w:tab/>
      </w:r>
      <w:r w:rsidR="00C40261">
        <w:rPr>
          <w:noProof/>
        </w:rPr>
        <w:fldChar w:fldCharType="begin"/>
      </w:r>
      <w:r w:rsidR="00C40261">
        <w:rPr>
          <w:noProof/>
        </w:rPr>
        <w:instrText xml:space="preserve"> PAGEREF _Toc190939251 \h </w:instrText>
      </w:r>
      <w:r w:rsidR="00C40261">
        <w:rPr>
          <w:noProof/>
        </w:rPr>
      </w:r>
      <w:r w:rsidR="00C40261">
        <w:rPr>
          <w:noProof/>
        </w:rPr>
        <w:fldChar w:fldCharType="separate"/>
      </w:r>
      <w:r w:rsidR="00C40261">
        <w:rPr>
          <w:noProof/>
        </w:rPr>
        <w:t>120</w:t>
      </w:r>
      <w:r w:rsidR="00C40261">
        <w:rPr>
          <w:noProof/>
        </w:rPr>
        <w:fldChar w:fldCharType="end"/>
      </w:r>
    </w:p>
    <w:p w14:paraId="77C7D562" w14:textId="77777777" w:rsidR="00C40261" w:rsidRPr="00E56C1E" w:rsidRDefault="00C40261" w:rsidP="00C40261">
      <w:pPr>
        <w:pStyle w:val="TOC10"/>
      </w:pPr>
      <w:r w:rsidRPr="00C40261">
        <w:rPr>
          <w:b/>
          <w:noProof/>
        </w:rPr>
        <w:t>Conclusion</w:t>
      </w:r>
      <w:r>
        <w:rPr>
          <w:noProof/>
        </w:rPr>
        <w:tab/>
      </w:r>
      <w:r>
        <w:rPr>
          <w:noProof/>
        </w:rPr>
        <w:fldChar w:fldCharType="begin"/>
      </w:r>
      <w:r>
        <w:rPr>
          <w:noProof/>
        </w:rPr>
        <w:instrText xml:space="preserve"> PAGEREF _Toc190939252 \h </w:instrText>
      </w:r>
      <w:r>
        <w:rPr>
          <w:noProof/>
        </w:rPr>
      </w:r>
      <w:r>
        <w:rPr>
          <w:noProof/>
        </w:rPr>
        <w:fldChar w:fldCharType="separate"/>
      </w:r>
      <w:r>
        <w:rPr>
          <w:noProof/>
        </w:rPr>
        <w:t>122</w:t>
      </w:r>
      <w:r>
        <w:rPr>
          <w:noProof/>
        </w:rPr>
        <w:fldChar w:fldCharType="end"/>
      </w:r>
      <w:r>
        <w:fldChar w:fldCharType="end"/>
      </w:r>
    </w:p>
    <w:p w14:paraId="3E7A9F1C" w14:textId="77777777" w:rsidR="00E56C1E" w:rsidRPr="00E56C1E" w:rsidRDefault="00E56C1E" w:rsidP="00E56C1E">
      <w:pPr>
        <w:pStyle w:val="SubHead1"/>
      </w:pPr>
      <w:bookmarkStart w:id="0" w:name="_Toc190939241"/>
      <w:r w:rsidRPr="00E56C1E">
        <w:lastRenderedPageBreak/>
        <w:t>Introduction</w:t>
      </w:r>
      <w:bookmarkEnd w:id="0"/>
    </w:p>
    <w:p w14:paraId="657F7507" w14:textId="4611DB98" w:rsidR="00E56C1E" w:rsidRPr="00E56C1E" w:rsidRDefault="00E56C1E" w:rsidP="00E56C1E">
      <w:pPr>
        <w:pStyle w:val="Document"/>
      </w:pPr>
      <w:r w:rsidRPr="4661E5C6">
        <w:t>Tactics to address and combat crime have developed significantly over the years. In the past, crime prevention strategies have focused on “reactionary tactics,” an approach that focuses on the most effective way to respond to crimes when they occur.</w:t>
      </w:r>
      <w:bookmarkStart w:id="1" w:name="_Ref191907519"/>
      <w:r w:rsidRPr="00E56C1E">
        <w:rPr>
          <w:rStyle w:val="NoterefInText"/>
        </w:rPr>
        <w:footnoteReference w:id="3"/>
      </w:r>
      <w:bookmarkEnd w:id="1"/>
      <w:r w:rsidRPr="4661E5C6">
        <w:t xml:space="preserve"> As technology </w:t>
      </w:r>
      <w:r w:rsidR="0078656A">
        <w:t xml:space="preserve">has </w:t>
      </w:r>
      <w:r w:rsidRPr="4661E5C6">
        <w:t>evolved, policing frameworks have shifted from reactionary</w:t>
      </w:r>
      <w:r w:rsidR="0078656A">
        <w:t xml:space="preserve"> strategies</w:t>
      </w:r>
      <w:r w:rsidRPr="4661E5C6">
        <w:t xml:space="preserve"> to proactive </w:t>
      </w:r>
      <w:r w:rsidR="0078656A">
        <w:t>ones</w:t>
      </w:r>
      <w:r w:rsidRPr="4661E5C6">
        <w:t xml:space="preserve"> that focus on prevent</w:t>
      </w:r>
      <w:r w:rsidR="0078656A">
        <w:t>ing</w:t>
      </w:r>
      <w:r w:rsidRPr="4661E5C6">
        <w:t xml:space="preserve"> criminal activity before it happens.</w:t>
      </w:r>
      <w:r w:rsidRPr="00E56C1E">
        <w:rPr>
          <w:rStyle w:val="NoterefInText"/>
        </w:rPr>
        <w:footnoteReference w:id="4"/>
      </w:r>
      <w:r w:rsidRPr="4661E5C6">
        <w:t xml:space="preserve"> Predictive policing is one such tactic. Law enforcement agencies use technology, data, and analysis to forecast both places in which crimes are likely to occur and individuals who are likely to perpetrate crimes.</w:t>
      </w:r>
      <w:r w:rsidRPr="00E56C1E">
        <w:rPr>
          <w:rStyle w:val="NoterefInText"/>
        </w:rPr>
        <w:footnoteReference w:id="5"/>
      </w:r>
    </w:p>
    <w:p w14:paraId="51F996AB" w14:textId="6CCC30F5" w:rsidR="00E56C1E" w:rsidRPr="00E56C1E" w:rsidRDefault="00E56C1E" w:rsidP="00E56C1E">
      <w:pPr>
        <w:pStyle w:val="Document"/>
        <w:rPr>
          <w:color w:val="0000FF"/>
        </w:rPr>
      </w:pPr>
      <w:r w:rsidRPr="00E56C1E">
        <w:rPr>
          <w:szCs w:val="24"/>
        </w:rPr>
        <w:t>Artificial intelligence (AI) has become an integral part of life</w:t>
      </w:r>
      <w:r w:rsidR="0078656A">
        <w:rPr>
          <w:szCs w:val="24"/>
        </w:rPr>
        <w:t xml:space="preserve"> in both the </w:t>
      </w:r>
      <w:r w:rsidRPr="00E56C1E">
        <w:rPr>
          <w:szCs w:val="24"/>
        </w:rPr>
        <w:t xml:space="preserve">personal and professional worlds. </w:t>
      </w:r>
      <w:r w:rsidR="003804F3">
        <w:rPr>
          <w:szCs w:val="24"/>
        </w:rPr>
        <w:t xml:space="preserve">Relevant for our purposes, </w:t>
      </w:r>
      <w:r w:rsidRPr="00E56C1E">
        <w:rPr>
          <w:szCs w:val="24"/>
        </w:rPr>
        <w:t>AI is transforming law enforcement practices in various parts of the world, and countries have begun using AI tools such as predictive policing algorithms, biometric surveillance, and facial recognition.</w:t>
      </w:r>
      <w:bookmarkStart w:id="2" w:name="_Ref191907204"/>
      <w:r w:rsidRPr="00E56C1E">
        <w:rPr>
          <w:rStyle w:val="NoterefInText"/>
        </w:rPr>
        <w:footnoteReference w:id="6"/>
      </w:r>
      <w:bookmarkEnd w:id="2"/>
      <w:r w:rsidRPr="00E56C1E">
        <w:rPr>
          <w:szCs w:val="24"/>
        </w:rPr>
        <w:t xml:space="preserve"> Specifically, law enforcement agencies integrate AI systems to identify certain crime hotspots to aid in more efficient allocation of police resources.</w:t>
      </w:r>
      <w:r w:rsidRPr="00E56C1E">
        <w:rPr>
          <w:rStyle w:val="NoterefInText"/>
        </w:rPr>
        <w:footnoteReference w:id="7"/>
      </w:r>
      <w:r w:rsidRPr="00E56C1E">
        <w:rPr>
          <w:szCs w:val="24"/>
        </w:rPr>
        <w:t xml:space="preserve"> Integrating these technologies into law enforcement initially promised increases in safety and resource efficiency. However, concerns have been raised over AI’s potential to exacerbate discrimination.</w:t>
      </w:r>
      <w:r w:rsidRPr="00E56C1E">
        <w:rPr>
          <w:rStyle w:val="NoterefInText"/>
        </w:rPr>
        <w:footnoteReference w:id="8"/>
      </w:r>
      <w:r w:rsidRPr="00E56C1E">
        <w:rPr>
          <w:szCs w:val="24"/>
        </w:rPr>
        <w:t xml:space="preserve"> </w:t>
      </w:r>
      <w:r w:rsidR="0078656A">
        <w:rPr>
          <w:szCs w:val="24"/>
        </w:rPr>
        <w:t>Further, m</w:t>
      </w:r>
      <w:r w:rsidRPr="00E56C1E">
        <w:rPr>
          <w:szCs w:val="24"/>
        </w:rPr>
        <w:t>any countries now use AI as a policing tool, but the design and implementation demonstrate differences in what each country prioritizes in their law enforcement techniques.</w:t>
      </w:r>
      <w:r w:rsidRPr="00E56C1E">
        <w:rPr>
          <w:rStyle w:val="NoterefInText"/>
        </w:rPr>
        <w:footnoteReference w:id="9"/>
      </w:r>
      <w:r w:rsidR="0078656A">
        <w:rPr>
          <w:szCs w:val="24"/>
        </w:rPr>
        <w:t xml:space="preserve"> Even though the AI boom may be a current phenomenon</w:t>
      </w:r>
      <w:r w:rsidRPr="00E56C1E">
        <w:rPr>
          <w:szCs w:val="24"/>
        </w:rPr>
        <w:t>, AI technologies, such as machine learning, big data analysis, and natural language processes, have been used in predictive policing for decades.</w:t>
      </w:r>
      <w:r w:rsidRPr="00E56C1E">
        <w:rPr>
          <w:rStyle w:val="NoterefInText"/>
        </w:rPr>
        <w:footnoteReference w:id="10"/>
      </w:r>
    </w:p>
    <w:p w14:paraId="532093C5" w14:textId="4DF896E0" w:rsidR="00E56C1E" w:rsidRPr="00E56C1E" w:rsidRDefault="00E56C1E" w:rsidP="00E56C1E">
      <w:pPr>
        <w:pStyle w:val="Document"/>
      </w:pPr>
      <w:r w:rsidRPr="00E56C1E">
        <w:rPr>
          <w:szCs w:val="24"/>
        </w:rPr>
        <w:t>The use of AI technologies in law enforcement comes with risks. In the United States, scholars have criticized predictive policing tools for their racial biases, arguing that the use of AI has increased the racial inequalities that permeate American society.</w:t>
      </w:r>
      <w:r w:rsidRPr="00E56C1E">
        <w:rPr>
          <w:rStyle w:val="NoterefInText"/>
        </w:rPr>
        <w:footnoteReference w:id="11"/>
      </w:r>
      <w:r w:rsidRPr="00E56C1E">
        <w:rPr>
          <w:szCs w:val="24"/>
        </w:rPr>
        <w:t xml:space="preserve"> Other technologies, such as facial recognition technologies, which use biological markers to verify the identity of someone using their physical or behavioral characteristics, have </w:t>
      </w:r>
      <w:r w:rsidR="0078656A">
        <w:rPr>
          <w:szCs w:val="24"/>
        </w:rPr>
        <w:t>given rise to</w:t>
      </w:r>
      <w:r w:rsidRPr="00E56C1E">
        <w:rPr>
          <w:szCs w:val="24"/>
        </w:rPr>
        <w:t xml:space="preserve"> similar concerns regarding their impact on individual rights. While these technologies are presently relevant, this Note will focus on location-based </w:t>
      </w:r>
      <w:r w:rsidRPr="00E56C1E">
        <w:rPr>
          <w:szCs w:val="24"/>
        </w:rPr>
        <w:lastRenderedPageBreak/>
        <w:t>policing tools.</w:t>
      </w:r>
      <w:r w:rsidRPr="00E56C1E">
        <w:rPr>
          <w:rStyle w:val="NoterefInText"/>
        </w:rPr>
        <w:footnoteReference w:id="12"/>
      </w:r>
    </w:p>
    <w:p w14:paraId="4C14E851" w14:textId="5281B13C" w:rsidR="00E56C1E" w:rsidRPr="00E56C1E" w:rsidRDefault="00E56C1E" w:rsidP="00E56C1E">
      <w:pPr>
        <w:pStyle w:val="Document"/>
      </w:pPr>
      <w:r w:rsidRPr="00E56C1E">
        <w:rPr>
          <w:szCs w:val="24"/>
        </w:rPr>
        <w:t>The Note begins by illustrating the development of predictive policing algorithms</w:t>
      </w:r>
      <w:r w:rsidR="00EA3B6F">
        <w:rPr>
          <w:szCs w:val="24"/>
        </w:rPr>
        <w:t>—o</w:t>
      </w:r>
      <w:r w:rsidRPr="00E56C1E">
        <w:rPr>
          <w:szCs w:val="24"/>
        </w:rPr>
        <w:t>utlining their scope and challenges. The Note then examines the use of predictive policing in the United States, China, India, and the European Union (EU)</w:t>
      </w:r>
      <w:r w:rsidR="00EA3B6F">
        <w:rPr>
          <w:szCs w:val="24"/>
        </w:rPr>
        <w:t>,</w:t>
      </w:r>
      <w:r w:rsidRPr="00E56C1E">
        <w:rPr>
          <w:szCs w:val="24"/>
        </w:rPr>
        <w:t xml:space="preserve"> with Germany as a case study. The selection of these regions is based on their active uses of AI in predictive policing, and the development, or lack thereof, of policies surrounding AI. Each nation reflects unique philosophies regarding the use of AI: the U.S. emphasizes proactive crime reduction while grappling with racial biases; China adopts pervasive surveillance tactics, often neglecting privacy; India confronts population-driven resource allocation needs; and lastly, the EU champions robust regulatory frameworks to safeguard citizens’ rights. By comparing these philosophies, this Note highlights the complexities of integrating AI into law enforcement and </w:t>
      </w:r>
      <w:r w:rsidR="00EA3B6F">
        <w:rPr>
          <w:szCs w:val="24"/>
        </w:rPr>
        <w:t xml:space="preserve">assesses </w:t>
      </w:r>
      <w:r w:rsidRPr="00E56C1E">
        <w:rPr>
          <w:szCs w:val="24"/>
        </w:rPr>
        <w:t>how the EU’s existing frameworks may be used as a model in the future for other countries. The Note conclude</w:t>
      </w:r>
      <w:r w:rsidR="00EA3B6F">
        <w:rPr>
          <w:szCs w:val="24"/>
        </w:rPr>
        <w:t>s</w:t>
      </w:r>
      <w:r w:rsidRPr="00E56C1E">
        <w:rPr>
          <w:szCs w:val="24"/>
        </w:rPr>
        <w:t xml:space="preserve"> by discussing the implications of predictive policing algorithms and suggestions for law enforcement to take in using AI as a policing tool. The global adoption of predictive policing algorithms illustrates the challenges and opportunities of balancing public safety with ethical principles and legal safeguards. Countries must navigate these competing priorities to achieve equitable and effective implementation that aligns with their respective cultural values.</w:t>
      </w:r>
    </w:p>
    <w:p w14:paraId="1CF6AB25" w14:textId="77777777" w:rsidR="00E56C1E" w:rsidRPr="00E56C1E" w:rsidRDefault="00E56C1E" w:rsidP="00E56C1E">
      <w:pPr>
        <w:pStyle w:val="SubHead1"/>
      </w:pPr>
      <w:bookmarkStart w:id="3" w:name="_Toc190939242"/>
      <w:r>
        <w:t>I.</w:t>
      </w:r>
      <w:r>
        <w:tab/>
      </w:r>
      <w:r w:rsidRPr="00E56C1E">
        <w:t>Predictive Policing Algorithms: Definition and Scope</w:t>
      </w:r>
      <w:bookmarkEnd w:id="3"/>
    </w:p>
    <w:p w14:paraId="7E4A338C" w14:textId="77777777" w:rsidR="00EA3B6F" w:rsidRDefault="00E56C1E" w:rsidP="00E56C1E">
      <w:pPr>
        <w:pStyle w:val="Document"/>
        <w:rPr>
          <w:szCs w:val="24"/>
        </w:rPr>
      </w:pPr>
      <w:r w:rsidRPr="00E56C1E">
        <w:rPr>
          <w:szCs w:val="24"/>
        </w:rPr>
        <w:t xml:space="preserve">The definition of predictive policing illustrates how the incorporation of AI will be central to its future development and use. Perry et al. provide a definition of predictive policing that captures this sentiment: </w:t>
      </w:r>
    </w:p>
    <w:p w14:paraId="3BD27842" w14:textId="77777777" w:rsidR="00EA3B6F" w:rsidRDefault="00EA3B6F" w:rsidP="00E56C1E">
      <w:pPr>
        <w:pStyle w:val="Document"/>
        <w:rPr>
          <w:szCs w:val="24"/>
        </w:rPr>
      </w:pPr>
    </w:p>
    <w:p w14:paraId="4135EE20" w14:textId="77777777" w:rsidR="00EA3B6F" w:rsidRPr="007866A6" w:rsidRDefault="00E56C1E" w:rsidP="00B0752C">
      <w:pPr>
        <w:pStyle w:val="Document"/>
        <w:ind w:left="284" w:right="284" w:firstLine="0"/>
        <w:rPr>
          <w:i/>
          <w:iCs/>
          <w:sz w:val="20"/>
          <w:szCs w:val="22"/>
        </w:rPr>
      </w:pPr>
      <w:r w:rsidRPr="00B0752C">
        <w:rPr>
          <w:i/>
          <w:iCs/>
          <w:sz w:val="20"/>
          <w:szCs w:val="22"/>
        </w:rPr>
        <w:t>“Predictive policing is the application of analytical techniques—particularly quantitative techniques—to identify likely targets for police intervention and prevent crime or solve past crimes by making statistical predictions.”</w:t>
      </w:r>
      <w:r w:rsidRPr="00B0752C">
        <w:rPr>
          <w:rStyle w:val="NoterefInText"/>
          <w:i/>
          <w:iCs/>
          <w:sz w:val="18"/>
          <w:szCs w:val="18"/>
        </w:rPr>
        <w:footnoteReference w:id="13"/>
      </w:r>
    </w:p>
    <w:p w14:paraId="19BC8C35" w14:textId="77777777" w:rsidR="00EA3B6F" w:rsidRDefault="00EA3B6F" w:rsidP="00EA3B6F">
      <w:pPr>
        <w:pStyle w:val="Document"/>
        <w:rPr>
          <w:szCs w:val="24"/>
        </w:rPr>
      </w:pPr>
    </w:p>
    <w:p w14:paraId="29C2E472" w14:textId="0C8A678B" w:rsidR="00EA3B6F" w:rsidRDefault="00E56C1E" w:rsidP="00E56C1E">
      <w:pPr>
        <w:pStyle w:val="Document"/>
        <w:rPr>
          <w:szCs w:val="24"/>
        </w:rPr>
      </w:pPr>
      <w:r w:rsidRPr="00E56C1E">
        <w:rPr>
          <w:szCs w:val="24"/>
        </w:rPr>
        <w:t xml:space="preserve"> From this definition, it is easy to see how countries that are capable of compiling and analyzing data are </w:t>
      </w:r>
      <w:r w:rsidR="00EA3B6F" w:rsidRPr="00E56C1E">
        <w:rPr>
          <w:szCs w:val="24"/>
        </w:rPr>
        <w:t>riper</w:t>
      </w:r>
      <w:r w:rsidRPr="00E56C1E">
        <w:rPr>
          <w:szCs w:val="24"/>
        </w:rPr>
        <w:t xml:space="preserve"> to implement predictive policing tactics. Meijer and Wessels provide a similar definition, arguing </w:t>
      </w:r>
      <w:r w:rsidR="00EA3B6F" w:rsidRPr="00E56C1E">
        <w:rPr>
          <w:szCs w:val="24"/>
        </w:rPr>
        <w:t>that</w:t>
      </w:r>
      <w:r w:rsidR="00EA3B6F">
        <w:rPr>
          <w:szCs w:val="24"/>
        </w:rPr>
        <w:t>:</w:t>
      </w:r>
    </w:p>
    <w:p w14:paraId="62040C41" w14:textId="77777777" w:rsidR="00EA3B6F" w:rsidRDefault="00EA3B6F" w:rsidP="00E56C1E">
      <w:pPr>
        <w:pStyle w:val="Document"/>
        <w:rPr>
          <w:szCs w:val="24"/>
        </w:rPr>
      </w:pPr>
    </w:p>
    <w:p w14:paraId="38008C2B" w14:textId="071020B6" w:rsidR="00EA3B6F" w:rsidRPr="007866A6" w:rsidRDefault="00EA3B6F" w:rsidP="007866A6">
      <w:pPr>
        <w:pStyle w:val="Document"/>
        <w:ind w:left="284" w:right="284" w:firstLine="0"/>
        <w:rPr>
          <w:i/>
          <w:iCs/>
          <w:szCs w:val="24"/>
        </w:rPr>
      </w:pPr>
      <w:r w:rsidRPr="0041100A">
        <w:rPr>
          <w:i/>
          <w:iCs/>
          <w:szCs w:val="24"/>
        </w:rPr>
        <w:t>“P</w:t>
      </w:r>
      <w:r w:rsidR="00E56C1E" w:rsidRPr="0041100A">
        <w:rPr>
          <w:i/>
          <w:iCs/>
          <w:szCs w:val="24"/>
        </w:rPr>
        <w:t xml:space="preserve">redictive policing is the collection and analysis of data about previous crimes for identification and statistical prediction of individuals or geospatial areas with an increased probability of criminal activity to help to develop policing intervention and </w:t>
      </w:r>
      <w:r w:rsidR="00E56C1E" w:rsidRPr="0041100A">
        <w:rPr>
          <w:i/>
          <w:iCs/>
          <w:szCs w:val="24"/>
        </w:rPr>
        <w:lastRenderedPageBreak/>
        <w:t>prevention strategies and tactics.”</w:t>
      </w:r>
      <w:r w:rsidR="00E56C1E" w:rsidRPr="007866A6">
        <w:rPr>
          <w:rStyle w:val="NoterefInText"/>
          <w:i/>
          <w:iCs/>
        </w:rPr>
        <w:footnoteReference w:id="14"/>
      </w:r>
      <w:r w:rsidR="00E56C1E" w:rsidRPr="007866A6">
        <w:rPr>
          <w:i/>
          <w:iCs/>
          <w:szCs w:val="24"/>
        </w:rPr>
        <w:t xml:space="preserve"> </w:t>
      </w:r>
      <w:r w:rsidR="0041100A">
        <w:rPr>
          <w:i/>
          <w:iCs/>
          <w:szCs w:val="24"/>
        </w:rPr>
        <w:t xml:space="preserve"> </w:t>
      </w:r>
    </w:p>
    <w:p w14:paraId="23692405" w14:textId="77777777" w:rsidR="00EA3B6F" w:rsidRDefault="00EA3B6F" w:rsidP="00E56C1E">
      <w:pPr>
        <w:pStyle w:val="Document"/>
        <w:rPr>
          <w:szCs w:val="24"/>
        </w:rPr>
      </w:pPr>
    </w:p>
    <w:p w14:paraId="7D7B1BFE" w14:textId="636CC083" w:rsidR="00E56C1E" w:rsidRPr="00E56C1E" w:rsidRDefault="00E56C1E" w:rsidP="00E56C1E">
      <w:pPr>
        <w:pStyle w:val="Document"/>
      </w:pPr>
      <w:r w:rsidRPr="00E56C1E">
        <w:rPr>
          <w:szCs w:val="24"/>
        </w:rPr>
        <w:t xml:space="preserve">These definitions highlight how technology leads to modern predictive policing tactics, </w:t>
      </w:r>
      <w:r w:rsidR="0041100A">
        <w:rPr>
          <w:szCs w:val="24"/>
        </w:rPr>
        <w:t xml:space="preserve">by which </w:t>
      </w:r>
      <w:r w:rsidRPr="00E56C1E">
        <w:rPr>
          <w:szCs w:val="24"/>
        </w:rPr>
        <w:t>AI emerges as the leading tool.</w:t>
      </w:r>
    </w:p>
    <w:p w14:paraId="36AE10BE" w14:textId="3348142E" w:rsidR="00E56C1E" w:rsidRPr="00E56C1E" w:rsidRDefault="00E56C1E" w:rsidP="00E56C1E">
      <w:pPr>
        <w:pStyle w:val="Document"/>
      </w:pPr>
      <w:r w:rsidRPr="00E56C1E">
        <w:rPr>
          <w:szCs w:val="24"/>
        </w:rPr>
        <w:t>To understand the role of AI as a policing tool, it is necessary to establish its general definition and scope. The implementation of AI into everyday tasks is a relatively recent phenomenon that has recently surged with systems such as open.ai and Meta.</w:t>
      </w:r>
      <w:r w:rsidRPr="00E56C1E">
        <w:rPr>
          <w:rStyle w:val="NoterefInText"/>
        </w:rPr>
        <w:footnoteReference w:id="15"/>
      </w:r>
      <w:r w:rsidRPr="00E56C1E">
        <w:rPr>
          <w:szCs w:val="24"/>
        </w:rPr>
        <w:t xml:space="preserve"> However, ideas surrounding artificial intelligence can be traced to the twentieth century, when Alan Turing posited the Turing Test. He </w:t>
      </w:r>
      <w:r w:rsidR="0041100A">
        <w:rPr>
          <w:szCs w:val="24"/>
        </w:rPr>
        <w:t xml:space="preserve">theorized </w:t>
      </w:r>
      <w:r w:rsidRPr="00E56C1E">
        <w:rPr>
          <w:szCs w:val="24"/>
        </w:rPr>
        <w:t>that a machine would be capable of intelligence if it could execute the same mental behavior as a human.</w:t>
      </w:r>
      <w:r w:rsidRPr="00E56C1E">
        <w:rPr>
          <w:rStyle w:val="NoterefInText"/>
        </w:rPr>
        <w:footnoteReference w:id="16"/>
      </w:r>
      <w:r w:rsidRPr="00E56C1E">
        <w:rPr>
          <w:szCs w:val="24"/>
        </w:rPr>
        <w:t xml:space="preserve"> AI technologies are becoming central to all digital systems that aim to recognize people by their physical characteristics.</w:t>
      </w:r>
      <w:r w:rsidRPr="00E56C1E">
        <w:rPr>
          <w:rStyle w:val="NoterefInText"/>
        </w:rPr>
        <w:footnoteReference w:id="17"/>
      </w:r>
      <w:r w:rsidRPr="00E56C1E">
        <w:rPr>
          <w:szCs w:val="24"/>
        </w:rPr>
        <w:t xml:space="preserve"> Although there is some margin of error, these systems help predictive policing systems because they are capable of recognizing people by the way they look, walk, and speak.</w:t>
      </w:r>
      <w:r w:rsidRPr="00E56C1E">
        <w:rPr>
          <w:rStyle w:val="NoterefInText"/>
        </w:rPr>
        <w:footnoteReference w:id="18"/>
      </w:r>
      <w:r w:rsidRPr="00E56C1E">
        <w:rPr>
          <w:szCs w:val="24"/>
        </w:rPr>
        <w:t xml:space="preserve"> Law enforcement agencies use AI for a variety of </w:t>
      </w:r>
      <w:r w:rsidR="00896DE4">
        <w:rPr>
          <w:szCs w:val="24"/>
        </w:rPr>
        <w:t>functions</w:t>
      </w:r>
      <w:r w:rsidRPr="00E56C1E">
        <w:rPr>
          <w:szCs w:val="24"/>
        </w:rPr>
        <w:t xml:space="preserve"> such as administrative </w:t>
      </w:r>
      <w:r w:rsidR="00896DE4">
        <w:rPr>
          <w:szCs w:val="24"/>
        </w:rPr>
        <w:t>tasks</w:t>
      </w:r>
      <w:r w:rsidRPr="00E56C1E">
        <w:rPr>
          <w:szCs w:val="24"/>
        </w:rPr>
        <w:t>, personal matters, forensics, facial recognition, and surveillance.</w:t>
      </w:r>
      <w:r w:rsidRPr="00E56C1E">
        <w:rPr>
          <w:rStyle w:val="NoterefInText"/>
        </w:rPr>
        <w:footnoteReference w:id="19"/>
      </w:r>
      <w:r w:rsidRPr="00E56C1E">
        <w:rPr>
          <w:szCs w:val="24"/>
        </w:rPr>
        <w:t xml:space="preserve"> Predictive policing uses AI to compile the data that is used to </w:t>
      </w:r>
      <w:r w:rsidR="00896DE4">
        <w:rPr>
          <w:szCs w:val="24"/>
        </w:rPr>
        <w:t xml:space="preserve">assess </w:t>
      </w:r>
      <w:r w:rsidRPr="00E56C1E">
        <w:rPr>
          <w:szCs w:val="24"/>
        </w:rPr>
        <w:t>when and where crimes will occur.</w:t>
      </w:r>
      <w:r w:rsidRPr="00E56C1E">
        <w:rPr>
          <w:rStyle w:val="NoterefInText"/>
        </w:rPr>
        <w:footnoteReference w:id="20"/>
      </w:r>
      <w:r w:rsidRPr="00E56C1E">
        <w:rPr>
          <w:szCs w:val="24"/>
        </w:rPr>
        <w:t xml:space="preserve"> These systems use time and space as metrics to allocate police resources to prevent crime and apprehend criminals.</w:t>
      </w:r>
      <w:r w:rsidRPr="00E56C1E">
        <w:rPr>
          <w:rStyle w:val="NoterefInText"/>
        </w:rPr>
        <w:footnoteReference w:id="21"/>
      </w:r>
      <w:r w:rsidRPr="00E56C1E">
        <w:rPr>
          <w:szCs w:val="24"/>
        </w:rPr>
        <w:t xml:space="preserve"> The main objective of these technologies is to ‘do more with less’ by imputing law enforcement agencies’ crime evaluations into a technology system.</w:t>
      </w:r>
      <w:bookmarkStart w:id="4" w:name="_Ref191907488"/>
      <w:r w:rsidRPr="00E56C1E">
        <w:rPr>
          <w:rStyle w:val="NoterefInText"/>
        </w:rPr>
        <w:footnoteReference w:id="22"/>
      </w:r>
      <w:bookmarkEnd w:id="4"/>
      <w:r w:rsidRPr="00E56C1E">
        <w:rPr>
          <w:szCs w:val="24"/>
        </w:rPr>
        <w:t xml:space="preserve"> These predictive policing methods display the time and space records on maps which, over time, illustrate</w:t>
      </w:r>
      <w:r w:rsidR="00FD38C7">
        <w:rPr>
          <w:szCs w:val="24"/>
        </w:rPr>
        <w:t>s</w:t>
      </w:r>
      <w:r w:rsidRPr="00E56C1E">
        <w:rPr>
          <w:szCs w:val="24"/>
        </w:rPr>
        <w:t xml:space="preserve"> concentrated areas of crime.</w:t>
      </w:r>
      <w:r w:rsidRPr="00E56C1E">
        <w:rPr>
          <w:rStyle w:val="NoterefInText"/>
        </w:rPr>
        <w:footnoteReference w:id="23"/>
      </w:r>
      <w:r w:rsidRPr="00E56C1E">
        <w:rPr>
          <w:szCs w:val="24"/>
        </w:rPr>
        <w:t xml:space="preserve"> The result is a two-fold ‘forecast’ of </w:t>
      </w:r>
      <w:r w:rsidRPr="00E56C1E">
        <w:rPr>
          <w:i/>
          <w:szCs w:val="24"/>
        </w:rPr>
        <w:t>where</w:t>
      </w:r>
      <w:r w:rsidRPr="00E56C1E">
        <w:rPr>
          <w:szCs w:val="24"/>
        </w:rPr>
        <w:t xml:space="preserve"> crimes are likely to occur and </w:t>
      </w:r>
      <w:r w:rsidRPr="00E56C1E">
        <w:rPr>
          <w:i/>
          <w:szCs w:val="24"/>
        </w:rPr>
        <w:t>who</w:t>
      </w:r>
      <w:r w:rsidRPr="00E56C1E">
        <w:rPr>
          <w:szCs w:val="24"/>
        </w:rPr>
        <w:t xml:space="preserve"> is likely to commit them.</w:t>
      </w:r>
      <w:r w:rsidRPr="00E56C1E">
        <w:rPr>
          <w:rStyle w:val="NoterefInText"/>
        </w:rPr>
        <w:footnoteReference w:id="24"/>
      </w:r>
      <w:r w:rsidRPr="00E56C1E">
        <w:rPr>
          <w:szCs w:val="24"/>
        </w:rPr>
        <w:t xml:space="preserve"> Although law enforcement agencies around the world continue to adopt these technologies, implementation is still in the early stages, and negative impacts are difficult to evaluate.</w:t>
      </w:r>
      <w:r w:rsidRPr="00E56C1E">
        <w:rPr>
          <w:rStyle w:val="NoterefInText"/>
        </w:rPr>
        <w:footnoteReference w:id="25"/>
      </w:r>
    </w:p>
    <w:p w14:paraId="669009DB" w14:textId="0DC614B5" w:rsidR="00E56C1E" w:rsidRPr="00E56C1E" w:rsidRDefault="00E56C1E" w:rsidP="00E56C1E">
      <w:pPr>
        <w:pStyle w:val="Document"/>
      </w:pPr>
      <w:r w:rsidRPr="00E56C1E">
        <w:rPr>
          <w:szCs w:val="24"/>
        </w:rPr>
        <w:t>Hot Spot Analysis is a practice within predictive policing that uses AI as a tool in its crime mapping.</w:t>
      </w:r>
      <w:r w:rsidRPr="00E56C1E">
        <w:rPr>
          <w:rStyle w:val="NoterefInText"/>
        </w:rPr>
        <w:footnoteReference w:id="26"/>
      </w:r>
      <w:r w:rsidRPr="00E56C1E">
        <w:rPr>
          <w:szCs w:val="24"/>
        </w:rPr>
        <w:t xml:space="preserve"> This type of offender-based modeling generates risk profiles of individuals in the criminal justice system based on generic </w:t>
      </w:r>
      <w:r w:rsidRPr="00E56C1E">
        <w:rPr>
          <w:szCs w:val="24"/>
        </w:rPr>
        <w:lastRenderedPageBreak/>
        <w:t>factors like age, criminal record, employment history, and any social or religious affiliations.</w:t>
      </w:r>
      <w:r w:rsidRPr="00E56C1E">
        <w:rPr>
          <w:rStyle w:val="NoterefInText"/>
        </w:rPr>
        <w:footnoteReference w:id="27"/>
      </w:r>
      <w:r w:rsidRPr="00E56C1E">
        <w:rPr>
          <w:szCs w:val="24"/>
        </w:rPr>
        <w:t xml:space="preserve"> Law enforcement agencies</w:t>
      </w:r>
      <w:r w:rsidR="00896DE4">
        <w:rPr>
          <w:szCs w:val="24"/>
        </w:rPr>
        <w:t>—</w:t>
      </w:r>
      <w:r w:rsidRPr="00E56C1E">
        <w:rPr>
          <w:szCs w:val="24"/>
        </w:rPr>
        <w:t>such as police, judges, or parole officers</w:t>
      </w:r>
      <w:r w:rsidR="00896DE4">
        <w:rPr>
          <w:szCs w:val="24"/>
        </w:rPr>
        <w:t>—</w:t>
      </w:r>
      <w:r w:rsidRPr="00E56C1E">
        <w:rPr>
          <w:szCs w:val="24"/>
        </w:rPr>
        <w:t>use these profiles to determine whether the individual should be put under surveillance or referred to another agency (i.e., social services).</w:t>
      </w:r>
      <w:r w:rsidRPr="00E56C1E">
        <w:rPr>
          <w:rStyle w:val="NoterefInText"/>
        </w:rPr>
        <w:footnoteReference w:id="28"/>
      </w:r>
      <w:r w:rsidRPr="00E56C1E">
        <w:rPr>
          <w:szCs w:val="24"/>
        </w:rPr>
        <w:t xml:space="preserve"> Additionally, predictive policing systems also use geospatial modeling to create the same type of risk profile for locations.</w:t>
      </w:r>
      <w:r w:rsidRPr="00E56C1E">
        <w:rPr>
          <w:rStyle w:val="NoterefInText"/>
        </w:rPr>
        <w:footnoteReference w:id="29"/>
      </w:r>
      <w:r w:rsidRPr="00E56C1E">
        <w:rPr>
          <w:szCs w:val="24"/>
        </w:rPr>
        <w:t xml:space="preserve"> Jurisdictions are divided into grid cells and the predictive policing algorithm uses data to predict crime rates and provide law enforcement with suggestions of when and where certain locations should have patrolling officers.</w:t>
      </w:r>
      <w:r w:rsidRPr="00E56C1E">
        <w:rPr>
          <w:rStyle w:val="NoterefInText"/>
        </w:rPr>
        <w:footnoteReference w:id="30"/>
      </w:r>
    </w:p>
    <w:p w14:paraId="63A18E0C" w14:textId="22EEF2B1" w:rsidR="00E56C1E" w:rsidRPr="00E56C1E" w:rsidRDefault="00E56C1E" w:rsidP="00E56C1E">
      <w:pPr>
        <w:pStyle w:val="Document"/>
      </w:pPr>
      <w:r w:rsidRPr="00E56C1E">
        <w:rPr>
          <w:szCs w:val="24"/>
        </w:rPr>
        <w:t>The scope of the use of AI in predictive policing is to analyze past crime data to provide predictions of locations and individuals that are prone to increased criminal activity.</w:t>
      </w:r>
      <w:r w:rsidRPr="00E56C1E">
        <w:rPr>
          <w:rStyle w:val="NoterefInText"/>
        </w:rPr>
        <w:footnoteReference w:id="31"/>
      </w:r>
      <w:r w:rsidRPr="00E56C1E">
        <w:rPr>
          <w:szCs w:val="24"/>
        </w:rPr>
        <w:t xml:space="preserve"> Perry et al. divide predictive policing techniques into four categories to illustrate this scope of AI use: classical statistical techniques, simple methods, complex applications, and tailored methods.</w:t>
      </w:r>
      <w:r w:rsidRPr="00E56C1E">
        <w:rPr>
          <w:rStyle w:val="NoterefInText"/>
        </w:rPr>
        <w:footnoteReference w:id="32"/>
      </w:r>
      <w:r w:rsidRPr="00E56C1E">
        <w:rPr>
          <w:szCs w:val="24"/>
        </w:rPr>
        <w:t xml:space="preserve"> Using this framework, the use of AI falls into two categories. First, </w:t>
      </w:r>
      <w:r w:rsidR="007A71E7">
        <w:rPr>
          <w:szCs w:val="24"/>
        </w:rPr>
        <w:t>it falls under</w:t>
      </w:r>
      <w:r w:rsidRPr="00E56C1E">
        <w:rPr>
          <w:szCs w:val="24"/>
        </w:rPr>
        <w:t xml:space="preserve"> classical techniques that involve statistical processes such as most forms of data regression, data mining, and temporal analyses; and second, </w:t>
      </w:r>
      <w:r w:rsidR="007A71E7">
        <w:rPr>
          <w:szCs w:val="24"/>
        </w:rPr>
        <w:t>it falls under</w:t>
      </w:r>
      <w:r w:rsidRPr="00E56C1E">
        <w:rPr>
          <w:szCs w:val="24"/>
        </w:rPr>
        <w:t xml:space="preserve"> complex applications, which include innovative methods required to consider large amounts of data.</w:t>
      </w:r>
      <w:r w:rsidRPr="00E56C1E">
        <w:rPr>
          <w:rStyle w:val="NoterefInText"/>
        </w:rPr>
        <w:footnoteReference w:id="33"/>
      </w:r>
      <w:r w:rsidRPr="00E56C1E">
        <w:rPr>
          <w:szCs w:val="24"/>
        </w:rPr>
        <w:t xml:space="preserve"> AI falls into these two categories because of its ability to sort and group large amounts of data. However, there still exist areas of predictive policing, such as simple methods, that do not require large amounts of data.</w:t>
      </w:r>
      <w:r w:rsidRPr="00E56C1E">
        <w:rPr>
          <w:rStyle w:val="NoterefInText"/>
        </w:rPr>
        <w:footnoteReference w:id="34"/>
      </w:r>
      <w:r w:rsidRPr="00E56C1E">
        <w:rPr>
          <w:szCs w:val="24"/>
        </w:rPr>
        <w:t xml:space="preserve"> These categorizations demonstrate </w:t>
      </w:r>
      <w:r w:rsidR="007A71E7">
        <w:rPr>
          <w:szCs w:val="24"/>
        </w:rPr>
        <w:t>that</w:t>
      </w:r>
      <w:r w:rsidRPr="00E56C1E">
        <w:rPr>
          <w:szCs w:val="24"/>
        </w:rPr>
        <w:t xml:space="preserve"> AI is central to the expansion of predictive policing models but will not completely transform the practice for individuals in law enforcement.</w:t>
      </w:r>
    </w:p>
    <w:p w14:paraId="4C6175E4" w14:textId="77777777" w:rsidR="00E56C1E" w:rsidRPr="00E56C1E" w:rsidRDefault="00E56C1E" w:rsidP="00E56C1E">
      <w:pPr>
        <w:pStyle w:val="SubHead1"/>
      </w:pPr>
      <w:bookmarkStart w:id="5" w:name="_Toc190939243"/>
      <w:r>
        <w:t>II.</w:t>
      </w:r>
      <w:r>
        <w:tab/>
      </w:r>
      <w:r w:rsidRPr="00E56C1E">
        <w:t>Ethical Concerns and Legal Frameworks Surrounding AI</w:t>
      </w:r>
      <w:bookmarkEnd w:id="5"/>
    </w:p>
    <w:p w14:paraId="274AC1DC" w14:textId="2AA93FF6" w:rsidR="00E56C1E" w:rsidRPr="00E56C1E" w:rsidRDefault="00E56C1E" w:rsidP="00E56C1E">
      <w:pPr>
        <w:pStyle w:val="Document"/>
      </w:pPr>
      <w:r w:rsidRPr="00E56C1E">
        <w:rPr>
          <w:szCs w:val="24"/>
        </w:rPr>
        <w:t xml:space="preserve">Due to the fast-paced development of the use of AI in predictive policing models, there are concerns that predictive policing may have discriminatory potential that stems from three subdivisions of predictive policing. First, </w:t>
      </w:r>
      <w:r w:rsidRPr="00E56C1E">
        <w:rPr>
          <w:i/>
          <w:szCs w:val="24"/>
        </w:rPr>
        <w:t>area-</w:t>
      </w:r>
      <w:r w:rsidRPr="00E56C1E">
        <w:rPr>
          <w:szCs w:val="24"/>
        </w:rPr>
        <w:t>based policing targets the time and place in predicting crimes.</w:t>
      </w:r>
      <w:r w:rsidRPr="00E56C1E">
        <w:rPr>
          <w:rStyle w:val="NoterefInText"/>
        </w:rPr>
        <w:footnoteReference w:id="35"/>
      </w:r>
      <w:r w:rsidRPr="00E56C1E">
        <w:rPr>
          <w:szCs w:val="24"/>
        </w:rPr>
        <w:t xml:space="preserve"> Second, </w:t>
      </w:r>
      <w:r w:rsidRPr="00E56C1E">
        <w:rPr>
          <w:i/>
          <w:szCs w:val="24"/>
        </w:rPr>
        <w:t>person-</w:t>
      </w:r>
      <w:r w:rsidRPr="00E56C1E">
        <w:rPr>
          <w:szCs w:val="24"/>
        </w:rPr>
        <w:t>based policing focuses on individual names and faces.</w:t>
      </w:r>
      <w:r w:rsidRPr="00E56C1E">
        <w:rPr>
          <w:rStyle w:val="NoterefInText"/>
        </w:rPr>
        <w:footnoteReference w:id="36"/>
      </w:r>
      <w:r w:rsidRPr="00E56C1E">
        <w:rPr>
          <w:szCs w:val="24"/>
        </w:rPr>
        <w:t xml:space="preserve"> Third, </w:t>
      </w:r>
      <w:r w:rsidRPr="00E56C1E">
        <w:rPr>
          <w:i/>
          <w:szCs w:val="24"/>
        </w:rPr>
        <w:t>event-</w:t>
      </w:r>
      <w:r w:rsidRPr="00E56C1E">
        <w:rPr>
          <w:szCs w:val="24"/>
        </w:rPr>
        <w:t>based policing targets the type of activity, such as terrorism or community crimes.</w:t>
      </w:r>
      <w:r w:rsidRPr="00E56C1E">
        <w:rPr>
          <w:rStyle w:val="NoterefInText"/>
        </w:rPr>
        <w:footnoteReference w:id="37"/>
      </w:r>
      <w:r w:rsidRPr="00E56C1E">
        <w:rPr>
          <w:szCs w:val="24"/>
        </w:rPr>
        <w:t xml:space="preserve"> This Note focuses on the first two types and how AI may inflate pre-existing historical biases </w:t>
      </w:r>
      <w:r w:rsidR="007A71E7">
        <w:rPr>
          <w:szCs w:val="24"/>
        </w:rPr>
        <w:t>surrounding</w:t>
      </w:r>
      <w:r w:rsidRPr="00E56C1E">
        <w:rPr>
          <w:szCs w:val="24"/>
        </w:rPr>
        <w:t xml:space="preserve"> crime, leading to an increase in </w:t>
      </w:r>
      <w:r w:rsidRPr="00E56C1E">
        <w:rPr>
          <w:szCs w:val="24"/>
        </w:rPr>
        <w:lastRenderedPageBreak/>
        <w:t xml:space="preserve">discrimination outcomes </w:t>
      </w:r>
      <w:r w:rsidR="007A71E7">
        <w:rPr>
          <w:szCs w:val="24"/>
        </w:rPr>
        <w:t>for</w:t>
      </w:r>
      <w:r w:rsidRPr="00E56C1E">
        <w:rPr>
          <w:szCs w:val="24"/>
        </w:rPr>
        <w:t xml:space="preserve"> marginalized communities.</w:t>
      </w:r>
      <w:r w:rsidRPr="00E56C1E">
        <w:rPr>
          <w:rStyle w:val="NoterefInText"/>
        </w:rPr>
        <w:footnoteReference w:id="38"/>
      </w:r>
      <w:r w:rsidRPr="00E56C1E">
        <w:rPr>
          <w:szCs w:val="24"/>
        </w:rPr>
        <w:t xml:space="preserve"> This concern </w:t>
      </w:r>
      <w:r w:rsidR="007A71E7">
        <w:rPr>
          <w:szCs w:val="24"/>
        </w:rPr>
        <w:t>derives from</w:t>
      </w:r>
      <w:r w:rsidRPr="00E56C1E">
        <w:rPr>
          <w:szCs w:val="24"/>
        </w:rPr>
        <w:t xml:space="preserve"> the fact that not many people understand how these systems are created and used, and</w:t>
      </w:r>
      <w:r w:rsidR="007A71E7">
        <w:rPr>
          <w:szCs w:val="24"/>
        </w:rPr>
        <w:t>, further, that</w:t>
      </w:r>
      <w:r w:rsidRPr="00E56C1E">
        <w:rPr>
          <w:szCs w:val="24"/>
        </w:rPr>
        <w:t xml:space="preserve"> the AI system does not rationalize its decisions in the way a human would, resulting in the erosion of public trust in AI due to the lack of knowledge of the extent of bias and error that these prediction models produce.</w:t>
      </w:r>
      <w:r w:rsidRPr="00E56C1E">
        <w:rPr>
          <w:rStyle w:val="NoterefInText"/>
        </w:rPr>
        <w:footnoteReference w:id="39"/>
      </w:r>
      <w:r w:rsidRPr="00E56C1E">
        <w:rPr>
          <w:szCs w:val="24"/>
        </w:rPr>
        <w:t xml:space="preserve"> For example, Berk posits that the COMPAS Algorithm, used by judges to inform criminal justice decisions such as sentencing, has been shown to disproportionately classify defendants based on race.</w:t>
      </w:r>
      <w:r w:rsidRPr="00E56C1E">
        <w:rPr>
          <w:rStyle w:val="NoterefInText"/>
        </w:rPr>
        <w:footnoteReference w:id="40"/>
      </w:r>
      <w:r w:rsidRPr="00E56C1E">
        <w:rPr>
          <w:szCs w:val="24"/>
        </w:rPr>
        <w:t xml:space="preserve">  Current issues also focus on the opacity of the AI-decision making process, which is further compounded when addressing issues of algorithmic bias or error.</w:t>
      </w:r>
      <w:r w:rsidRPr="00E56C1E">
        <w:rPr>
          <w:rStyle w:val="NoterefInText"/>
        </w:rPr>
        <w:footnoteReference w:id="41"/>
      </w:r>
      <w:r w:rsidRPr="00E56C1E">
        <w:rPr>
          <w:szCs w:val="24"/>
        </w:rPr>
        <w:t xml:space="preserve"> Acknowledgment of these concerns is crucial to ensure responsible and ethical implementation of AI when the laws cannot adequately govern</w:t>
      </w:r>
      <w:r w:rsidR="007A71E7">
        <w:rPr>
          <w:szCs w:val="24"/>
        </w:rPr>
        <w:t xml:space="preserve"> (it)</w:t>
      </w:r>
      <w:r w:rsidRPr="00E56C1E">
        <w:rPr>
          <w:szCs w:val="24"/>
        </w:rPr>
        <w:t>.</w:t>
      </w:r>
    </w:p>
    <w:p w14:paraId="431116CC" w14:textId="77777777" w:rsidR="007A71E7" w:rsidRDefault="00E56C1E" w:rsidP="00E56C1E">
      <w:pPr>
        <w:pStyle w:val="Document"/>
        <w:rPr>
          <w:szCs w:val="24"/>
        </w:rPr>
      </w:pPr>
      <w:r w:rsidRPr="00E56C1E">
        <w:rPr>
          <w:szCs w:val="24"/>
        </w:rPr>
        <w:t>Some ethical guidelines</w:t>
      </w:r>
      <w:r w:rsidR="007A71E7">
        <w:rPr>
          <w:szCs w:val="24"/>
        </w:rPr>
        <w:t xml:space="preserve"> do</w:t>
      </w:r>
      <w:r w:rsidRPr="00E56C1E">
        <w:rPr>
          <w:szCs w:val="24"/>
        </w:rPr>
        <w:t xml:space="preserve"> exist to address AI-based policing. Globally, the Institute of Electrical and Electronic Engineers (IEE) created the </w:t>
      </w:r>
      <w:r w:rsidRPr="00E56C1E">
        <w:rPr>
          <w:i/>
          <w:szCs w:val="24"/>
        </w:rPr>
        <w:t>Ethically Aligned Design AI</w:t>
      </w:r>
      <w:r w:rsidRPr="00E56C1E">
        <w:rPr>
          <w:szCs w:val="24"/>
        </w:rPr>
        <w:t xml:space="preserve"> to promulgate moral principles for the use of AI for its 420,000 members in more than 160 countries.</w:t>
      </w:r>
      <w:r w:rsidRPr="00E56C1E">
        <w:rPr>
          <w:rStyle w:val="NoterefInText"/>
        </w:rPr>
        <w:footnoteReference w:id="42"/>
      </w:r>
      <w:r w:rsidRPr="00E56C1E">
        <w:rPr>
          <w:szCs w:val="24"/>
        </w:rPr>
        <w:t xml:space="preserve"> The initiative also suggests legal frameworks for accountability, including that AI systems be subject to applicable regimes of property law, and that the government and industry stakeholders should identify </w:t>
      </w:r>
    </w:p>
    <w:p w14:paraId="4F387537" w14:textId="77777777" w:rsidR="007A71E7" w:rsidRDefault="007A71E7" w:rsidP="00E56C1E">
      <w:pPr>
        <w:pStyle w:val="Document"/>
        <w:rPr>
          <w:szCs w:val="24"/>
        </w:rPr>
      </w:pPr>
    </w:p>
    <w:p w14:paraId="03FC3484" w14:textId="3B87B9BD" w:rsidR="007A71E7" w:rsidRDefault="00E56C1E" w:rsidP="009972ED">
      <w:pPr>
        <w:pStyle w:val="Document"/>
        <w:ind w:left="284" w:right="284" w:firstLine="0"/>
        <w:rPr>
          <w:i/>
          <w:iCs/>
          <w:szCs w:val="24"/>
        </w:rPr>
      </w:pPr>
      <w:r w:rsidRPr="00317B15">
        <w:rPr>
          <w:i/>
          <w:iCs/>
          <w:szCs w:val="24"/>
        </w:rPr>
        <w:t>“</w:t>
      </w:r>
      <w:r w:rsidR="007A71E7" w:rsidRPr="00317B15">
        <w:rPr>
          <w:i/>
          <w:iCs/>
          <w:szCs w:val="24"/>
        </w:rPr>
        <w:t>T</w:t>
      </w:r>
      <w:r w:rsidRPr="00317B15">
        <w:rPr>
          <w:i/>
          <w:iCs/>
          <w:szCs w:val="24"/>
        </w:rPr>
        <w:t>he types of decisions and operations that should never be delegated to such systems and adopt rules and standards that ensure effective human control over those decisions and how to allocate legal responsibility for harm caused by them.”</w:t>
      </w:r>
      <w:r w:rsidRPr="007866A6">
        <w:rPr>
          <w:rStyle w:val="NoterefInText"/>
          <w:i/>
          <w:iCs/>
        </w:rPr>
        <w:footnoteReference w:id="43"/>
      </w:r>
    </w:p>
    <w:p w14:paraId="78B4EF99" w14:textId="77777777" w:rsidR="007A71E7" w:rsidRPr="007866A6" w:rsidRDefault="007A71E7" w:rsidP="0050307F">
      <w:pPr>
        <w:pStyle w:val="Document"/>
        <w:ind w:left="284" w:right="284" w:firstLine="0"/>
        <w:rPr>
          <w:i/>
          <w:iCs/>
          <w:szCs w:val="24"/>
        </w:rPr>
      </w:pPr>
    </w:p>
    <w:p w14:paraId="0C64B142" w14:textId="36891C7F" w:rsidR="00E56C1E" w:rsidRPr="00E56C1E" w:rsidRDefault="00E56C1E" w:rsidP="00E56C1E">
      <w:pPr>
        <w:pStyle w:val="Document"/>
      </w:pPr>
      <w:r w:rsidRPr="00E56C1E">
        <w:rPr>
          <w:szCs w:val="24"/>
        </w:rPr>
        <w:t xml:space="preserve"> Within the United States, the </w:t>
      </w:r>
      <w:proofErr w:type="spellStart"/>
      <w:r w:rsidRPr="00E56C1E">
        <w:rPr>
          <w:szCs w:val="24"/>
        </w:rPr>
        <w:t>Aslimonar</w:t>
      </w:r>
      <w:proofErr w:type="spellEnd"/>
      <w:r w:rsidRPr="00E56C1E">
        <w:rPr>
          <w:szCs w:val="24"/>
        </w:rPr>
        <w:t xml:space="preserve"> AI Principles were developed at the Beneficial AI conference in </w:t>
      </w:r>
      <w:r w:rsidR="007A71E7" w:rsidRPr="00E56C1E">
        <w:rPr>
          <w:szCs w:val="24"/>
        </w:rPr>
        <w:t>2017 and</w:t>
      </w:r>
      <w:r w:rsidRPr="00E56C1E">
        <w:rPr>
          <w:szCs w:val="24"/>
        </w:rPr>
        <w:t xml:space="preserve"> constitute one of the earliest and most influential sets of principles regarding its use.</w:t>
      </w:r>
      <w:r w:rsidRPr="00E56C1E">
        <w:rPr>
          <w:rStyle w:val="NoterefInText"/>
        </w:rPr>
        <w:footnoteReference w:id="44"/>
      </w:r>
      <w:r w:rsidRPr="00E56C1E">
        <w:rPr>
          <w:szCs w:val="24"/>
        </w:rPr>
        <w:t xml:space="preserve"> Although the principles are ethical guidelines, they are signed by some of the most influential </w:t>
      </w:r>
      <w:r w:rsidR="007A71E7">
        <w:rPr>
          <w:szCs w:val="24"/>
        </w:rPr>
        <w:t>science and technology figures in the world</w:t>
      </w:r>
      <w:r w:rsidRPr="00E56C1E">
        <w:rPr>
          <w:szCs w:val="24"/>
        </w:rPr>
        <w:t>, such as Stephen Hawking, Elon Musk, and Sam Altman (co-founder of OpenAI).</w:t>
      </w:r>
      <w:r w:rsidRPr="00E56C1E">
        <w:rPr>
          <w:rStyle w:val="NoterefInText"/>
        </w:rPr>
        <w:footnoteReference w:id="45"/>
      </w:r>
    </w:p>
    <w:p w14:paraId="121EE351" w14:textId="4FEFF6FE" w:rsidR="00E56C1E" w:rsidRPr="00E56C1E" w:rsidRDefault="00E56C1E" w:rsidP="00E56C1E">
      <w:pPr>
        <w:pStyle w:val="Document"/>
      </w:pPr>
      <w:r w:rsidRPr="00E56C1E">
        <w:rPr>
          <w:szCs w:val="24"/>
        </w:rPr>
        <w:t>The legal frameworks surrounding the use of AI in predictive policing in Europe are also not well developed. The</w:t>
      </w:r>
      <w:r w:rsidR="006E31A1">
        <w:rPr>
          <w:szCs w:val="24"/>
        </w:rPr>
        <w:t xml:space="preserve"> General Data Protection Regulation (GDPR)</w:t>
      </w:r>
      <w:r w:rsidRPr="00E56C1E">
        <w:rPr>
          <w:szCs w:val="24"/>
        </w:rPr>
        <w:t xml:space="preserve"> imposes requirements on the processing of personal data </w:t>
      </w:r>
      <w:r w:rsidRPr="00E56C1E">
        <w:rPr>
          <w:szCs w:val="24"/>
        </w:rPr>
        <w:lastRenderedPageBreak/>
        <w:t>but does not directly address predictive policing measures.</w:t>
      </w:r>
      <w:r w:rsidRPr="00E56C1E">
        <w:rPr>
          <w:rStyle w:val="NoterefInText"/>
        </w:rPr>
        <w:footnoteReference w:id="46"/>
      </w:r>
      <w:r w:rsidRPr="00E56C1E">
        <w:rPr>
          <w:szCs w:val="24"/>
        </w:rPr>
        <w:t xml:space="preserve"> However, ethical guidelines for “Trustworthy AI” have been proposed by the High-Level Expert Group on AI. </w:t>
      </w:r>
      <w:r w:rsidRPr="00E56C1E">
        <w:rPr>
          <w:rStyle w:val="NoterefInText"/>
        </w:rPr>
        <w:footnoteReference w:id="47"/>
      </w:r>
      <w:r w:rsidRPr="00E56C1E">
        <w:rPr>
          <w:szCs w:val="24"/>
        </w:rPr>
        <w:t xml:space="preserve"> The United Nations (UN) currently does not have a governing body for AI.</w:t>
      </w:r>
      <w:r w:rsidRPr="00E56C1E">
        <w:rPr>
          <w:rStyle w:val="NoterefInText"/>
        </w:rPr>
        <w:footnoteReference w:id="48"/>
      </w:r>
      <w:r w:rsidRPr="00E56C1E">
        <w:rPr>
          <w:szCs w:val="24"/>
        </w:rPr>
        <w:t xml:space="preserve"> Still, the UN has appointed an AI Advisory Body, which is composed of 39 AI leaders from 33 countries, who has recently set forth “Governing AI for Humanity</w:t>
      </w:r>
      <w:r w:rsidR="006E31A1">
        <w:rPr>
          <w:szCs w:val="24"/>
        </w:rPr>
        <w:t>—</w:t>
      </w:r>
      <w:r w:rsidRPr="00E56C1E">
        <w:rPr>
          <w:szCs w:val="24"/>
        </w:rPr>
        <w:t>Final Report.”</w:t>
      </w:r>
      <w:r w:rsidRPr="00E56C1E">
        <w:rPr>
          <w:rStyle w:val="NoterefInText"/>
        </w:rPr>
        <w:footnoteReference w:id="49"/>
      </w:r>
      <w:r w:rsidRPr="00E56C1E">
        <w:rPr>
          <w:szCs w:val="24"/>
        </w:rPr>
        <w:t xml:space="preserve"> This report underscores the global severity of AI risks, as well as recommendations for leaders to regulate the use of AI.</w:t>
      </w:r>
      <w:r w:rsidRPr="00E56C1E">
        <w:rPr>
          <w:rStyle w:val="NoterefInText"/>
        </w:rPr>
        <w:footnoteReference w:id="50"/>
      </w:r>
    </w:p>
    <w:p w14:paraId="049E52D8" w14:textId="77777777" w:rsidR="00E56C1E" w:rsidRPr="00E56C1E" w:rsidRDefault="00E56C1E" w:rsidP="00E56C1E">
      <w:pPr>
        <w:pStyle w:val="Document"/>
      </w:pPr>
      <w:r w:rsidRPr="00E56C1E">
        <w:rPr>
          <w:szCs w:val="24"/>
        </w:rPr>
        <w:t>Nonetheless, the EU’s General Data Protection Regulation (GDPR) imposes stringent requirements on the processing of personal data, including biometric information, by law enforcement agencies.</w:t>
      </w:r>
      <w:r w:rsidRPr="00E56C1E">
        <w:rPr>
          <w:rStyle w:val="NoterefInText"/>
        </w:rPr>
        <w:footnoteReference w:id="51"/>
      </w:r>
      <w:r w:rsidRPr="00E56C1E">
        <w:rPr>
          <w:szCs w:val="24"/>
        </w:rPr>
        <w:t xml:space="preserve"> The GDPR defines biometric data as personal data obtained through special technical processing related to physical or behavioral characteristics that uniquely identify an individual.</w:t>
      </w:r>
      <w:r w:rsidRPr="00E56C1E">
        <w:rPr>
          <w:rStyle w:val="NoterefInText"/>
        </w:rPr>
        <w:footnoteReference w:id="52"/>
      </w:r>
      <w:r w:rsidRPr="00E56C1E">
        <w:rPr>
          <w:szCs w:val="24"/>
        </w:rPr>
        <w:t xml:space="preserve"> However, there are disagreements regarding whether there is a legal or technical difference in biometric data.</w:t>
      </w:r>
      <w:r w:rsidRPr="00E56C1E">
        <w:rPr>
          <w:rStyle w:val="NoterefInText"/>
        </w:rPr>
        <w:footnoteReference w:id="53"/>
      </w:r>
    </w:p>
    <w:p w14:paraId="3748B4E4" w14:textId="77777777" w:rsidR="00E56C1E" w:rsidRPr="00E56C1E" w:rsidRDefault="00E56C1E" w:rsidP="00E56C1E">
      <w:pPr>
        <w:pStyle w:val="SubHead1"/>
      </w:pPr>
      <w:bookmarkStart w:id="6" w:name="_Toc190939244"/>
      <w:r>
        <w:t>III.</w:t>
      </w:r>
      <w:r>
        <w:tab/>
      </w:r>
      <w:r w:rsidRPr="00E56C1E">
        <w:t>Global Use of Predictive Policing Algorithms</w:t>
      </w:r>
      <w:bookmarkEnd w:id="6"/>
    </w:p>
    <w:p w14:paraId="17C5AB32" w14:textId="77777777" w:rsidR="00E56C1E" w:rsidRPr="00E56C1E" w:rsidRDefault="00E56C1E" w:rsidP="00E56C1E">
      <w:pPr>
        <w:pStyle w:val="SubHead2"/>
      </w:pPr>
      <w:bookmarkStart w:id="7" w:name="_Toc190939245"/>
      <w:r>
        <w:t>A.</w:t>
      </w:r>
      <w:r>
        <w:tab/>
      </w:r>
      <w:r w:rsidRPr="00E56C1E">
        <w:t>United States</w:t>
      </w:r>
      <w:bookmarkEnd w:id="7"/>
    </w:p>
    <w:p w14:paraId="2FB0C9BA" w14:textId="6B0345E5" w:rsidR="00E56C1E" w:rsidRPr="00E56C1E" w:rsidRDefault="00E56C1E" w:rsidP="00E56C1E">
      <w:pPr>
        <w:pStyle w:val="Document"/>
      </w:pPr>
      <w:r w:rsidRPr="00E56C1E">
        <w:rPr>
          <w:szCs w:val="24"/>
        </w:rPr>
        <w:t xml:space="preserve">The United States is known for its extensive use of AI in predictive policing throughout various cities. The use of </w:t>
      </w:r>
      <w:r w:rsidR="004178EB">
        <w:rPr>
          <w:szCs w:val="24"/>
        </w:rPr>
        <w:t>artificial intelligence</w:t>
      </w:r>
      <w:r w:rsidR="004178EB" w:rsidRPr="00E56C1E">
        <w:rPr>
          <w:szCs w:val="24"/>
        </w:rPr>
        <w:t xml:space="preserve"> </w:t>
      </w:r>
      <w:r w:rsidRPr="00E56C1E">
        <w:rPr>
          <w:szCs w:val="24"/>
        </w:rPr>
        <w:t xml:space="preserve">as a tool for predictive policing began as early as 2011 when researchers from three universities worked with the Santa Cruz Police Department to develop </w:t>
      </w:r>
      <w:proofErr w:type="spellStart"/>
      <w:r w:rsidRPr="00E56C1E">
        <w:rPr>
          <w:szCs w:val="24"/>
        </w:rPr>
        <w:t>PredPol</w:t>
      </w:r>
      <w:proofErr w:type="spellEnd"/>
      <w:r w:rsidRPr="00E56C1E">
        <w:rPr>
          <w:szCs w:val="24"/>
        </w:rPr>
        <w:t xml:space="preserve"> as a predictive policing technology that analyzes historical crime data to anticipate potential criminal activity in certain areas </w:t>
      </w:r>
      <w:r w:rsidR="006E31A1">
        <w:rPr>
          <w:szCs w:val="24"/>
        </w:rPr>
        <w:t xml:space="preserve">with the aim of </w:t>
      </w:r>
      <w:r w:rsidRPr="00E56C1E">
        <w:rPr>
          <w:szCs w:val="24"/>
        </w:rPr>
        <w:t>deploy</w:t>
      </w:r>
      <w:r w:rsidR="006E31A1">
        <w:rPr>
          <w:szCs w:val="24"/>
        </w:rPr>
        <w:t>ing</w:t>
      </w:r>
      <w:r w:rsidRPr="00E56C1E">
        <w:rPr>
          <w:szCs w:val="24"/>
        </w:rPr>
        <w:t xml:space="preserve"> resources proactively.</w:t>
      </w:r>
      <w:r w:rsidRPr="00E56C1E">
        <w:rPr>
          <w:rStyle w:val="NoterefInText"/>
        </w:rPr>
        <w:footnoteReference w:id="54"/>
      </w:r>
      <w:r w:rsidRPr="00E56C1E">
        <w:rPr>
          <w:szCs w:val="24"/>
        </w:rPr>
        <w:t xml:space="preserve"> This technology can identify places that would be susceptible to high criminal activity in a given time frame.</w:t>
      </w:r>
      <w:r w:rsidRPr="00E56C1E">
        <w:rPr>
          <w:rStyle w:val="NoterefInText"/>
        </w:rPr>
        <w:footnoteReference w:id="55"/>
      </w:r>
      <w:r w:rsidRPr="00E56C1E">
        <w:rPr>
          <w:szCs w:val="24"/>
        </w:rPr>
        <w:t xml:space="preserve"> The program relie</w:t>
      </w:r>
      <w:r w:rsidR="006E31A1">
        <w:rPr>
          <w:szCs w:val="24"/>
        </w:rPr>
        <w:t>s</w:t>
      </w:r>
      <w:r w:rsidRPr="00E56C1E">
        <w:rPr>
          <w:szCs w:val="24"/>
        </w:rPr>
        <w:t xml:space="preserve"> on three key variables: type of crime, data and time, and place.</w:t>
      </w:r>
      <w:r w:rsidRPr="00E56C1E">
        <w:rPr>
          <w:rStyle w:val="NoterefInText"/>
        </w:rPr>
        <w:footnoteReference w:id="56"/>
      </w:r>
    </w:p>
    <w:p w14:paraId="7C7E23F8" w14:textId="4804F056" w:rsidR="00E56C1E" w:rsidRPr="00E56C1E" w:rsidRDefault="00E56C1E" w:rsidP="00E56C1E">
      <w:pPr>
        <w:pStyle w:val="Document"/>
      </w:pPr>
      <w:r w:rsidRPr="00E56C1E">
        <w:rPr>
          <w:szCs w:val="24"/>
        </w:rPr>
        <w:t xml:space="preserve">The use of AI as a tool to analyze historical data in predictive policing </w:t>
      </w:r>
      <w:r w:rsidRPr="00E56C1E">
        <w:rPr>
          <w:szCs w:val="24"/>
        </w:rPr>
        <w:lastRenderedPageBreak/>
        <w:t>has been successful in other cities across the US.</w:t>
      </w:r>
      <w:r w:rsidRPr="00E56C1E">
        <w:rPr>
          <w:rStyle w:val="NoterefInText"/>
        </w:rPr>
        <w:footnoteReference w:id="57"/>
      </w:r>
      <w:r w:rsidRPr="00E56C1E">
        <w:rPr>
          <w:szCs w:val="24"/>
        </w:rPr>
        <w:t xml:space="preserve"> The Los Angeles Police Department (LAPD) created a program called Los Angeles Strategic Extraction and Restoration (LASER), which uses historical crime data and predictive algorithms to identify hotspots.</w:t>
      </w:r>
      <w:r w:rsidRPr="00E56C1E">
        <w:rPr>
          <w:rStyle w:val="NoterefInText"/>
        </w:rPr>
        <w:footnoteReference w:id="58"/>
      </w:r>
      <w:r w:rsidRPr="00E56C1E">
        <w:rPr>
          <w:szCs w:val="24"/>
        </w:rPr>
        <w:t xml:space="preserve"> LASER not only provides signals for “high-risk” neighborhoods but also allows police to input real-time data, creating maps that police can then use to intervene in crimes before they occur.</w:t>
      </w:r>
      <w:r w:rsidRPr="00E56C1E">
        <w:rPr>
          <w:rStyle w:val="NoterefInText"/>
        </w:rPr>
        <w:footnoteReference w:id="59"/>
      </w:r>
      <w:r w:rsidRPr="00E56C1E">
        <w:rPr>
          <w:szCs w:val="24"/>
        </w:rPr>
        <w:t xml:space="preserve"> This program has allowed the LAPD to engage in proactive policing, leading to a 25% reduction in crime in the identified hotspots following its implementation period in 2016.</w:t>
      </w:r>
      <w:r w:rsidRPr="00E56C1E">
        <w:rPr>
          <w:rStyle w:val="NoterefInText"/>
        </w:rPr>
        <w:footnoteReference w:id="60"/>
      </w:r>
      <w:r w:rsidRPr="00E56C1E">
        <w:rPr>
          <w:szCs w:val="24"/>
        </w:rPr>
        <w:t xml:space="preserve"> Similarly, the police department of Kent, Washington saw a 13% reduction in crimes in the year that they integrated </w:t>
      </w:r>
      <w:proofErr w:type="spellStart"/>
      <w:r w:rsidRPr="00E56C1E">
        <w:rPr>
          <w:szCs w:val="24"/>
        </w:rPr>
        <w:t>PredPol</w:t>
      </w:r>
      <w:proofErr w:type="spellEnd"/>
      <w:r w:rsidRPr="00E56C1E">
        <w:rPr>
          <w:szCs w:val="24"/>
        </w:rPr>
        <w:t xml:space="preserve"> into their predictive policing tactics.</w:t>
      </w:r>
      <w:r w:rsidRPr="00E56C1E">
        <w:rPr>
          <w:rStyle w:val="NoterefInText"/>
        </w:rPr>
        <w:footnoteReference w:id="61"/>
      </w:r>
      <w:r w:rsidRPr="00E56C1E">
        <w:rPr>
          <w:szCs w:val="24"/>
        </w:rPr>
        <w:t xml:space="preserve"> </w:t>
      </w:r>
      <w:proofErr w:type="spellStart"/>
      <w:r w:rsidRPr="00E56C1E">
        <w:rPr>
          <w:szCs w:val="24"/>
        </w:rPr>
        <w:t>PredPol</w:t>
      </w:r>
      <w:proofErr w:type="spellEnd"/>
      <w:r w:rsidRPr="00E56C1E">
        <w:rPr>
          <w:szCs w:val="24"/>
        </w:rPr>
        <w:t xml:space="preserve"> allowed the Kent Police to focus on the hotspot areas identified by the algorithm, which improved their deter</w:t>
      </w:r>
      <w:r w:rsidR="006E31A1">
        <w:rPr>
          <w:szCs w:val="24"/>
        </w:rPr>
        <w:t>rence</w:t>
      </w:r>
      <w:r w:rsidRPr="00E56C1E">
        <w:rPr>
          <w:szCs w:val="24"/>
        </w:rPr>
        <w:t xml:space="preserve"> tactics and respons</w:t>
      </w:r>
      <w:r w:rsidR="006E31A1">
        <w:rPr>
          <w:szCs w:val="24"/>
        </w:rPr>
        <w:t xml:space="preserve">e </w:t>
      </w:r>
      <w:r w:rsidRPr="00E56C1E">
        <w:rPr>
          <w:szCs w:val="24"/>
        </w:rPr>
        <w:t>times.</w:t>
      </w:r>
      <w:r w:rsidRPr="00E56C1E">
        <w:rPr>
          <w:rStyle w:val="NoterefInText"/>
        </w:rPr>
        <w:footnoteReference w:id="62"/>
      </w:r>
    </w:p>
    <w:p w14:paraId="64C4474C" w14:textId="4708B449" w:rsidR="00E56C1E" w:rsidRPr="00E56C1E" w:rsidRDefault="00E56C1E" w:rsidP="00E56C1E">
      <w:pPr>
        <w:pStyle w:val="Document"/>
      </w:pPr>
      <w:r w:rsidRPr="00E56C1E">
        <w:rPr>
          <w:szCs w:val="24"/>
        </w:rPr>
        <w:t>The implementation of predictive policing in Richmond,</w:t>
      </w:r>
      <w:r w:rsidR="006E31A1">
        <w:rPr>
          <w:szCs w:val="24"/>
        </w:rPr>
        <w:t xml:space="preserve"> </w:t>
      </w:r>
      <w:r w:rsidRPr="00E56C1E">
        <w:rPr>
          <w:szCs w:val="24"/>
        </w:rPr>
        <w:t>Virginia is unique because it highlights how the United States’ use of AI in predictive policing aims to not only reduce crime rates but also promote community safety.</w:t>
      </w:r>
      <w:r w:rsidRPr="00E56C1E">
        <w:rPr>
          <w:rStyle w:val="NoterefInText"/>
        </w:rPr>
        <w:footnoteReference w:id="63"/>
      </w:r>
      <w:r w:rsidRPr="00E56C1E">
        <w:rPr>
          <w:szCs w:val="24"/>
        </w:rPr>
        <w:t xml:space="preserve"> The Richmond police integrated predictive policing algorithms to specifically address gun violence and utilized systems for a </w:t>
      </w:r>
      <w:r w:rsidRPr="00E56C1E">
        <w:rPr>
          <w:i/>
          <w:szCs w:val="24"/>
        </w:rPr>
        <w:t>person</w:t>
      </w:r>
      <w:r w:rsidRPr="00E56C1E">
        <w:rPr>
          <w:szCs w:val="24"/>
        </w:rPr>
        <w:t>-based approach, identifying certain individuals that were categorized as “high risk of involvement in violent crime</w:t>
      </w:r>
      <w:r w:rsidR="006E31A1">
        <w:rPr>
          <w:szCs w:val="24"/>
        </w:rPr>
        <w:t>,</w:t>
      </w:r>
      <w:r w:rsidRPr="00E56C1E">
        <w:rPr>
          <w:szCs w:val="24"/>
        </w:rPr>
        <w:t>” both as perpetrators and individuals.</w:t>
      </w:r>
      <w:r w:rsidRPr="00E56C1E">
        <w:rPr>
          <w:rStyle w:val="NoterefInText"/>
        </w:rPr>
        <w:footnoteReference w:id="64"/>
      </w:r>
      <w:r w:rsidRPr="00E56C1E">
        <w:rPr>
          <w:szCs w:val="24"/>
        </w:rPr>
        <w:t xml:space="preserve"> Since its implementation in 2020, the Richmond Police Department has reported a 40% reduction in gun violence over two years as a result of its use of the algorithm.</w:t>
      </w:r>
      <w:r w:rsidRPr="00E56C1E">
        <w:rPr>
          <w:rStyle w:val="NoterefInText"/>
        </w:rPr>
        <w:footnoteReference w:id="65"/>
      </w:r>
      <w:r w:rsidRPr="00E56C1E">
        <w:rPr>
          <w:szCs w:val="24"/>
        </w:rPr>
        <w:t xml:space="preserve"> This case, along with </w:t>
      </w:r>
      <w:proofErr w:type="spellStart"/>
      <w:r w:rsidRPr="00E56C1E">
        <w:rPr>
          <w:szCs w:val="24"/>
        </w:rPr>
        <w:t>PredPol</w:t>
      </w:r>
      <w:proofErr w:type="spellEnd"/>
      <w:r w:rsidRPr="00E56C1E">
        <w:rPr>
          <w:szCs w:val="24"/>
        </w:rPr>
        <w:t xml:space="preserve"> and LASER, </w:t>
      </w:r>
      <w:r w:rsidR="006E31A1">
        <w:rPr>
          <w:szCs w:val="24"/>
        </w:rPr>
        <w:t>may be but</w:t>
      </w:r>
      <w:r w:rsidRPr="00E56C1E">
        <w:rPr>
          <w:szCs w:val="24"/>
        </w:rPr>
        <w:t xml:space="preserve"> a small sample</w:t>
      </w:r>
      <w:r w:rsidR="006E31A1">
        <w:rPr>
          <w:szCs w:val="24"/>
        </w:rPr>
        <w:t xml:space="preserve"> size among</w:t>
      </w:r>
      <w:r w:rsidRPr="00E56C1E">
        <w:rPr>
          <w:szCs w:val="24"/>
        </w:rPr>
        <w:t xml:space="preserve"> </w:t>
      </w:r>
      <w:r w:rsidR="006E31A1">
        <w:rPr>
          <w:szCs w:val="24"/>
        </w:rPr>
        <w:t xml:space="preserve">the </w:t>
      </w:r>
      <w:r w:rsidR="00D71055">
        <w:rPr>
          <w:szCs w:val="24"/>
        </w:rPr>
        <w:t xml:space="preserve">many </w:t>
      </w:r>
      <w:r w:rsidRPr="00E56C1E">
        <w:rPr>
          <w:szCs w:val="24"/>
        </w:rPr>
        <w:t>predictive policing algorithms that exist throughout the United States. However, these cases illustrate that predictive policing algorithms have produced lower crime rates when implemented effectively.</w:t>
      </w:r>
      <w:r w:rsidRPr="00E56C1E">
        <w:rPr>
          <w:rStyle w:val="NoterefInText"/>
        </w:rPr>
        <w:footnoteReference w:id="66"/>
      </w:r>
    </w:p>
    <w:p w14:paraId="09638D6C" w14:textId="6191D5AD" w:rsidR="00E56C1E" w:rsidRPr="00E56C1E" w:rsidRDefault="00E56C1E" w:rsidP="00E56C1E">
      <w:pPr>
        <w:pStyle w:val="Document"/>
      </w:pPr>
      <w:r w:rsidRPr="00E56C1E">
        <w:rPr>
          <w:szCs w:val="24"/>
        </w:rPr>
        <w:t>The main concern in the United States regarding predictive policing algorithms is its use of historical data and a belief that it results in the over-policing of certain communities.</w:t>
      </w:r>
      <w:r w:rsidRPr="00E56C1E">
        <w:rPr>
          <w:rStyle w:val="NoterefInText"/>
        </w:rPr>
        <w:footnoteReference w:id="67"/>
      </w:r>
      <w:r w:rsidRPr="00E56C1E">
        <w:rPr>
          <w:szCs w:val="24"/>
        </w:rPr>
        <w:t xml:space="preserve"> Studies show that using a computer to allocate policing responsibilities shifts decision-makers from the individual to a machine that is not scientific, evidence-based, and race-neutral.</w:t>
      </w:r>
      <w:r w:rsidRPr="00E56C1E">
        <w:rPr>
          <w:rStyle w:val="NoterefInText"/>
        </w:rPr>
        <w:footnoteReference w:id="68"/>
      </w:r>
      <w:r w:rsidRPr="00E56C1E">
        <w:rPr>
          <w:szCs w:val="24"/>
        </w:rPr>
        <w:t xml:space="preserve"> For example, the Chicago Police Department’s predictive policing program came under fire for racial bias</w:t>
      </w:r>
      <w:r w:rsidR="00D71055">
        <w:rPr>
          <w:szCs w:val="24"/>
        </w:rPr>
        <w:t>.</w:t>
      </w:r>
      <w:r w:rsidRPr="00E56C1E">
        <w:rPr>
          <w:szCs w:val="24"/>
        </w:rPr>
        <w:t xml:space="preserve"> </w:t>
      </w:r>
      <w:r w:rsidR="00D71055">
        <w:rPr>
          <w:szCs w:val="24"/>
        </w:rPr>
        <w:t>I</w:t>
      </w:r>
      <w:r w:rsidRPr="00E56C1E">
        <w:rPr>
          <w:szCs w:val="24"/>
        </w:rPr>
        <w:t xml:space="preserve">ts algorithm assigned scores to individuals of their </w:t>
      </w:r>
      <w:r w:rsidRPr="00E56C1E">
        <w:rPr>
          <w:szCs w:val="24"/>
        </w:rPr>
        <w:lastRenderedPageBreak/>
        <w:t>chances of being involved in gun violence based on factors regarding their “associations.</w:t>
      </w:r>
      <w:r w:rsidR="00D71055">
        <w:rPr>
          <w:szCs w:val="24"/>
        </w:rPr>
        <w:t>”</w:t>
      </w:r>
      <w:r w:rsidRPr="00E56C1E">
        <w:rPr>
          <w:rStyle w:val="NoterefInText"/>
        </w:rPr>
        <w:footnoteReference w:id="69"/>
      </w:r>
      <w:r w:rsidRPr="00E56C1E">
        <w:rPr>
          <w:szCs w:val="24"/>
        </w:rPr>
        <w:t xml:space="preserve"> Those who criticized this algorithm found that it disproportionately targeted Black and Latin communities, adding to the existing racial prejudices that exist in policing around the country.</w:t>
      </w:r>
      <w:r w:rsidRPr="00E56C1E">
        <w:rPr>
          <w:rStyle w:val="NoterefInText"/>
        </w:rPr>
        <w:footnoteReference w:id="70"/>
      </w:r>
      <w:r w:rsidRPr="00E56C1E">
        <w:rPr>
          <w:szCs w:val="24"/>
        </w:rPr>
        <w:t xml:space="preserve"> Ferguson argues that algorithms in the United States have provided useful crime data, but reinforce racial biases because the chosen risk factors can disproportionately impact communities of color.</w:t>
      </w:r>
      <w:bookmarkStart w:id="8" w:name="_Ref191907460"/>
      <w:r w:rsidRPr="00E56C1E">
        <w:rPr>
          <w:rStyle w:val="NoterefInText"/>
        </w:rPr>
        <w:footnoteReference w:id="71"/>
      </w:r>
      <w:bookmarkEnd w:id="8"/>
      <w:r w:rsidRPr="00E56C1E">
        <w:rPr>
          <w:szCs w:val="24"/>
        </w:rPr>
        <w:t xml:space="preserve"> Cities in the United States are known to be populated by certain races or wealthy populations, which may impact the discriminatory effect of predictive technologies.</w:t>
      </w:r>
      <w:r w:rsidRPr="00E56C1E">
        <w:rPr>
          <w:rStyle w:val="NoterefInText"/>
        </w:rPr>
        <w:footnoteReference w:id="72"/>
      </w:r>
      <w:r w:rsidRPr="00E56C1E">
        <w:rPr>
          <w:szCs w:val="24"/>
        </w:rPr>
        <w:t xml:space="preserve"> Thus, the bias does not come from the algorithm itself, but from the factors that are not considered in the algorithms, such as real-life considerations.</w:t>
      </w:r>
      <w:r w:rsidRPr="00E56C1E">
        <w:rPr>
          <w:rStyle w:val="NoterefInText"/>
        </w:rPr>
        <w:footnoteReference w:id="73"/>
      </w:r>
    </w:p>
    <w:p w14:paraId="288482BA" w14:textId="42950426" w:rsidR="00E56C1E" w:rsidRPr="00E56C1E" w:rsidRDefault="00E56C1E" w:rsidP="00E56C1E">
      <w:pPr>
        <w:pStyle w:val="Document"/>
      </w:pPr>
      <w:r w:rsidRPr="00E56C1E">
        <w:rPr>
          <w:szCs w:val="24"/>
        </w:rPr>
        <w:t>Due to the high crime rates in the United States, as compared to other countries, there are existing justifications for predictive policing algorithms</w:t>
      </w:r>
      <w:r w:rsidR="00D71055">
        <w:rPr>
          <w:szCs w:val="24"/>
        </w:rPr>
        <w:t xml:space="preserve">, such as </w:t>
      </w:r>
      <w:r w:rsidRPr="00E56C1E">
        <w:rPr>
          <w:szCs w:val="24"/>
        </w:rPr>
        <w:t xml:space="preserve">benefits like their ability to identify and ‘amend’ the situational characteristics of </w:t>
      </w:r>
      <w:r w:rsidR="00D71055">
        <w:rPr>
          <w:szCs w:val="24"/>
        </w:rPr>
        <w:t xml:space="preserve">identified </w:t>
      </w:r>
      <w:r w:rsidRPr="00E56C1E">
        <w:rPr>
          <w:szCs w:val="24"/>
        </w:rPr>
        <w:t>hotspots to diminish the occurrence of crime.</w:t>
      </w:r>
      <w:r w:rsidRPr="00E56C1E">
        <w:rPr>
          <w:rStyle w:val="NoterefInText"/>
        </w:rPr>
        <w:footnoteReference w:id="74"/>
      </w:r>
      <w:r w:rsidRPr="00E56C1E">
        <w:rPr>
          <w:szCs w:val="24"/>
        </w:rPr>
        <w:t xml:space="preserve"> Weisburd et. al refer to the United States’s aim to enhance community safety, arguing that the algorithms go beyond traditional policing methods to strengthen collective efficacy</w:t>
      </w:r>
      <w:r w:rsidR="00D71055">
        <w:rPr>
          <w:szCs w:val="24"/>
        </w:rPr>
        <w:t>—</w:t>
      </w:r>
      <w:r w:rsidRPr="00E56C1E">
        <w:rPr>
          <w:szCs w:val="24"/>
        </w:rPr>
        <w:t>residents’ willingness to act for the common good</w:t>
      </w:r>
      <w:r w:rsidR="00D71055">
        <w:rPr>
          <w:szCs w:val="24"/>
        </w:rPr>
        <w:t>—</w:t>
      </w:r>
      <w:r w:rsidRPr="00E56C1E">
        <w:rPr>
          <w:szCs w:val="24"/>
        </w:rPr>
        <w:t>which in turn mitigates crime through fostering social integration.</w:t>
      </w:r>
      <w:r w:rsidRPr="00E56C1E">
        <w:rPr>
          <w:rStyle w:val="NoterefInText"/>
        </w:rPr>
        <w:footnoteReference w:id="75"/>
      </w:r>
      <w:r w:rsidRPr="00E56C1E">
        <w:rPr>
          <w:szCs w:val="24"/>
        </w:rPr>
        <w:t xml:space="preserve"> Their research highlights that a significant proportion of crime occurs in a small percentage of locations, and although traditional hot spot policing focuses on this issue by monitoring suspected future offenders and changing the physical characteristics of hotspots, it often neglects the social dynamics of these areas (i.e., poverty).</w:t>
      </w:r>
      <w:r w:rsidRPr="00E56C1E">
        <w:rPr>
          <w:rStyle w:val="NoterefInText"/>
        </w:rPr>
        <w:footnoteReference w:id="76"/>
      </w:r>
      <w:r w:rsidRPr="00E56C1E">
        <w:rPr>
          <w:szCs w:val="24"/>
        </w:rPr>
        <w:t xml:space="preserve"> From this research, the authors argue that these social relationships would assist in hot spot crime detection by emphasizing proactive long-term crime reduction over</w:t>
      </w:r>
      <w:r w:rsidR="00D71055">
        <w:rPr>
          <w:szCs w:val="24"/>
        </w:rPr>
        <w:t xml:space="preserve"> </w:t>
      </w:r>
      <w:r w:rsidRPr="00E56C1E">
        <w:rPr>
          <w:szCs w:val="24"/>
        </w:rPr>
        <w:t>reactive enforcement.</w:t>
      </w:r>
      <w:r w:rsidRPr="00E56C1E">
        <w:rPr>
          <w:rStyle w:val="NoterefInText"/>
        </w:rPr>
        <w:footnoteReference w:id="77"/>
      </w:r>
      <w:r w:rsidRPr="00E56C1E">
        <w:rPr>
          <w:szCs w:val="24"/>
        </w:rPr>
        <w:t xml:space="preserve"> The time needed to build these social relationships suggests that the benefits of policing hotspots will not show in the short term.</w:t>
      </w:r>
      <w:r w:rsidRPr="00E56C1E">
        <w:rPr>
          <w:rStyle w:val="NoterefInText"/>
        </w:rPr>
        <w:footnoteReference w:id="78"/>
      </w:r>
    </w:p>
    <w:p w14:paraId="4F82B582" w14:textId="55F1A565" w:rsidR="00E56C1E" w:rsidRPr="00E56C1E" w:rsidRDefault="00E56C1E" w:rsidP="00E56C1E">
      <w:pPr>
        <w:pStyle w:val="Document"/>
        <w:rPr>
          <w:i/>
        </w:rPr>
      </w:pPr>
      <w:r w:rsidRPr="00E56C1E">
        <w:rPr>
          <w:szCs w:val="24"/>
        </w:rPr>
        <w:t xml:space="preserve">The use of predictive policing algorithms to encourage social interventions in crime detection may be implemented across the United States soon. The response of the community after hot spots have been identified is called </w:t>
      </w:r>
      <w:r w:rsidR="007E1041">
        <w:rPr>
          <w:szCs w:val="24"/>
        </w:rPr>
        <w:t>“</w:t>
      </w:r>
      <w:r w:rsidRPr="00E56C1E">
        <w:rPr>
          <w:szCs w:val="24"/>
        </w:rPr>
        <w:t>collective efficacy policing</w:t>
      </w:r>
      <w:r w:rsidR="007E1041">
        <w:rPr>
          <w:szCs w:val="24"/>
        </w:rPr>
        <w:t>”—</w:t>
      </w:r>
      <w:r w:rsidRPr="00E56C1E">
        <w:rPr>
          <w:szCs w:val="24"/>
        </w:rPr>
        <w:t>a practice that is currently being tested in Brooklyn Park, Minnesota.</w:t>
      </w:r>
      <w:r w:rsidRPr="00E56C1E">
        <w:rPr>
          <w:rStyle w:val="NoterefInText"/>
        </w:rPr>
        <w:footnoteReference w:id="79"/>
      </w:r>
      <w:r w:rsidRPr="00E56C1E">
        <w:rPr>
          <w:szCs w:val="24"/>
        </w:rPr>
        <w:t xml:space="preserve"> The Brooklyn Park police collaborate with the community to build trust and establish social relationships to encourage </w:t>
      </w:r>
      <w:r w:rsidRPr="00E56C1E">
        <w:rPr>
          <w:szCs w:val="24"/>
        </w:rPr>
        <w:lastRenderedPageBreak/>
        <w:t>local ownership of crime issues.</w:t>
      </w:r>
      <w:r w:rsidRPr="00E56C1E">
        <w:rPr>
          <w:rStyle w:val="NoterefInText"/>
        </w:rPr>
        <w:footnoteReference w:id="80"/>
      </w:r>
      <w:r w:rsidRPr="00E56C1E">
        <w:rPr>
          <w:szCs w:val="24"/>
        </w:rPr>
        <w:t xml:space="preserve"> That is, if social considerations are implemented at the hot spot level, crime prevention would produce a wider effect.</w:t>
      </w:r>
      <w:r w:rsidRPr="00E56C1E">
        <w:rPr>
          <w:rStyle w:val="NoterefInText"/>
        </w:rPr>
        <w:footnoteReference w:id="81"/>
      </w:r>
      <w:r w:rsidRPr="00E56C1E">
        <w:rPr>
          <w:szCs w:val="24"/>
        </w:rPr>
        <w:t xml:space="preserve"> Weisburd et al. conclude by stating that hot spot detection methods are still crucial, but they should be combined with collective efficacy strategies as a crime reduction method.</w:t>
      </w:r>
    </w:p>
    <w:p w14:paraId="76865813" w14:textId="14B5317C" w:rsidR="00E56C1E" w:rsidRPr="00E56C1E" w:rsidRDefault="00E56C1E" w:rsidP="00E56C1E">
      <w:pPr>
        <w:pStyle w:val="Document"/>
      </w:pPr>
      <w:r w:rsidRPr="00E56C1E">
        <w:rPr>
          <w:szCs w:val="24"/>
        </w:rPr>
        <w:t xml:space="preserve">Currently, the legal regulation of AI in the United States varies </w:t>
      </w:r>
      <w:r w:rsidR="007E1041">
        <w:rPr>
          <w:szCs w:val="24"/>
        </w:rPr>
        <w:t>by</w:t>
      </w:r>
      <w:r w:rsidRPr="00E56C1E">
        <w:rPr>
          <w:szCs w:val="24"/>
        </w:rPr>
        <w:t xml:space="preserve"> state and localit</w:t>
      </w:r>
      <w:r w:rsidR="007E1041">
        <w:rPr>
          <w:szCs w:val="24"/>
        </w:rPr>
        <w:t>y</w:t>
      </w:r>
      <w:r w:rsidRPr="00E56C1E">
        <w:rPr>
          <w:szCs w:val="24"/>
        </w:rPr>
        <w:t>.</w:t>
      </w:r>
      <w:r w:rsidRPr="00E56C1E">
        <w:rPr>
          <w:rStyle w:val="NoterefInText"/>
        </w:rPr>
        <w:footnoteReference w:id="82"/>
      </w:r>
      <w:r w:rsidRPr="00E56C1E">
        <w:rPr>
          <w:szCs w:val="24"/>
        </w:rPr>
        <w:t xml:space="preserve"> Only some states have enacted specific laws regarding the use of AI that would apply to its use in law enforcement. For instance, the California Consumer Privacy Act (CCPA) is a law that mandates the use of transparent data collection and analysis.</w:t>
      </w:r>
      <w:r w:rsidRPr="00E56C1E">
        <w:rPr>
          <w:rStyle w:val="NoterefInText"/>
        </w:rPr>
        <w:footnoteReference w:id="83"/>
      </w:r>
      <w:r w:rsidRPr="00E56C1E">
        <w:rPr>
          <w:szCs w:val="24"/>
        </w:rPr>
        <w:t xml:space="preserve"> Under CCPA 1798.110, “government agencies” (which constitute a third party under the CCPA) must not share personal information about individuals without disclosure.</w:t>
      </w:r>
      <w:r w:rsidRPr="00E56C1E">
        <w:rPr>
          <w:rStyle w:val="NoterefInText"/>
        </w:rPr>
        <w:footnoteReference w:id="84"/>
      </w:r>
      <w:r w:rsidRPr="00E56C1E">
        <w:rPr>
          <w:szCs w:val="24"/>
        </w:rPr>
        <w:t xml:space="preserve"> Although CCPA does not have any mandates regarding the use of AI as a policing tool, California law enforcement agencies would have to keep its disclosure requirements in mind. Regarding any future laws </w:t>
      </w:r>
      <w:r w:rsidR="007E1041">
        <w:rPr>
          <w:szCs w:val="24"/>
        </w:rPr>
        <w:t>on</w:t>
      </w:r>
      <w:r w:rsidRPr="00E56C1E">
        <w:rPr>
          <w:szCs w:val="24"/>
        </w:rPr>
        <w:t xml:space="preserve"> AI as a tool in policing, it is important to note that the development of any laws against the use of AI in policing will face severe constitutional scrutiny. The Fourth Amendment applies to crime prevention for its protection of citizens against “unreasonable searches and seizures;” however, its exact application to AI is still being assessed by the courts, and the Supreme Court has yet to make a definitive statement.</w:t>
      </w:r>
      <w:r w:rsidRPr="00E56C1E">
        <w:rPr>
          <w:rStyle w:val="NoterefInText"/>
        </w:rPr>
        <w:footnoteReference w:id="85"/>
      </w:r>
      <w:r w:rsidRPr="00E56C1E">
        <w:rPr>
          <w:szCs w:val="24"/>
        </w:rPr>
        <w:t xml:space="preserve"> Joh articulates that any Fourth Amendment may face significant challenges due to the nature of data collection and analysis in AI. That is, she states “the Fourth Amendment is primarily interested in</w:t>
      </w:r>
      <w:r w:rsidR="007E1041">
        <w:rPr>
          <w:szCs w:val="24"/>
        </w:rPr>
        <w:t xml:space="preserve"> </w:t>
      </w:r>
      <w:r w:rsidRPr="00E56C1E">
        <w:rPr>
          <w:szCs w:val="24"/>
        </w:rPr>
        <w:t xml:space="preserve">. . . </w:t>
      </w:r>
      <w:r w:rsidRPr="00E56C1E">
        <w:rPr>
          <w:i/>
          <w:szCs w:val="24"/>
        </w:rPr>
        <w:t>how</w:t>
      </w:r>
      <w:r w:rsidRPr="00E56C1E">
        <w:rPr>
          <w:szCs w:val="24"/>
        </w:rPr>
        <w:t xml:space="preserve"> information is acquired.”</w:t>
      </w:r>
      <w:r w:rsidRPr="00E56C1E">
        <w:rPr>
          <w:rStyle w:val="NoterefInText"/>
        </w:rPr>
        <w:footnoteReference w:id="86"/>
      </w:r>
      <w:r w:rsidRPr="00E56C1E">
        <w:rPr>
          <w:szCs w:val="24"/>
        </w:rPr>
        <w:t xml:space="preserve"> Since the government’s possession of AI is permissible, any further analysis or use of the information will likely fail to meet a Fourth Amendment justification.</w:t>
      </w:r>
      <w:r w:rsidRPr="00E56C1E">
        <w:rPr>
          <w:rStyle w:val="NoterefInText"/>
        </w:rPr>
        <w:footnoteReference w:id="87"/>
      </w:r>
      <w:r w:rsidRPr="00E56C1E">
        <w:rPr>
          <w:szCs w:val="24"/>
        </w:rPr>
        <w:t xml:space="preserve"> Despite the difficult nature of enacting laws surrounding AI, concerns regarding discrimination and bias suggest that the United States will face pressure to address such impacts in the future.</w:t>
      </w:r>
    </w:p>
    <w:p w14:paraId="641DB119" w14:textId="77777777" w:rsidR="00E56C1E" w:rsidRPr="00E56C1E" w:rsidRDefault="00E56C1E" w:rsidP="00E56C1E">
      <w:pPr>
        <w:pStyle w:val="SubHead2"/>
      </w:pPr>
      <w:bookmarkStart w:id="9" w:name="_Toc190939246"/>
      <w:r>
        <w:t>B.</w:t>
      </w:r>
      <w:r>
        <w:tab/>
      </w:r>
      <w:r w:rsidRPr="00E56C1E">
        <w:t>China</w:t>
      </w:r>
      <w:bookmarkEnd w:id="9"/>
    </w:p>
    <w:p w14:paraId="32AD52DD" w14:textId="371E75DF" w:rsidR="00E56C1E" w:rsidRPr="00E56C1E" w:rsidRDefault="00E56C1E" w:rsidP="00E56C1E">
      <w:pPr>
        <w:pStyle w:val="Document"/>
      </w:pPr>
      <w:r w:rsidRPr="00E56C1E">
        <w:rPr>
          <w:szCs w:val="24"/>
        </w:rPr>
        <w:t xml:space="preserve">China has also been implementing AI-powered predictive policing systems to detect and predict crime across the country. Although it is difficult to ascertain the true extent of China’s AI use, some known systems are used by police across the country. </w:t>
      </w:r>
      <w:proofErr w:type="spellStart"/>
      <w:r w:rsidRPr="00E56C1E">
        <w:rPr>
          <w:szCs w:val="24"/>
        </w:rPr>
        <w:t>Cloudwalk</w:t>
      </w:r>
      <w:proofErr w:type="spellEnd"/>
      <w:r w:rsidRPr="00E56C1E">
        <w:rPr>
          <w:szCs w:val="24"/>
        </w:rPr>
        <w:t xml:space="preserve"> is an AI company, used as a  predictive policing tool, that is used in over fifty Chinese cities and provinces and is used for various purposes: facial recognition to track individuals, analyzing purchasing history, flagging “suspicious activities” like frequent </w:t>
      </w:r>
      <w:r w:rsidRPr="00E56C1E">
        <w:rPr>
          <w:szCs w:val="24"/>
        </w:rPr>
        <w:lastRenderedPageBreak/>
        <w:t>visits to weapons shops, identifying people traveling across different locations, and predict</w:t>
      </w:r>
      <w:r w:rsidR="007E1041">
        <w:rPr>
          <w:szCs w:val="24"/>
        </w:rPr>
        <w:t>ing</w:t>
      </w:r>
      <w:r w:rsidRPr="00E56C1E">
        <w:rPr>
          <w:szCs w:val="24"/>
        </w:rPr>
        <w:t xml:space="preserve"> who may commit crimes before they occur.</w:t>
      </w:r>
      <w:r w:rsidRPr="00E56C1E">
        <w:rPr>
          <w:rStyle w:val="NoterefInText"/>
        </w:rPr>
        <w:footnoteReference w:id="88"/>
      </w:r>
      <w:r w:rsidRPr="00E56C1E">
        <w:rPr>
          <w:szCs w:val="24"/>
        </w:rPr>
        <w:t xml:space="preserve"> This system is comparable to </w:t>
      </w:r>
      <w:proofErr w:type="spellStart"/>
      <w:r w:rsidRPr="00E56C1E">
        <w:rPr>
          <w:szCs w:val="24"/>
        </w:rPr>
        <w:t>PredProl</w:t>
      </w:r>
      <w:proofErr w:type="spellEnd"/>
      <w:r w:rsidRPr="00E56C1E">
        <w:rPr>
          <w:szCs w:val="24"/>
        </w:rPr>
        <w:t>, which is used in the United States</w:t>
      </w:r>
      <w:r w:rsidR="007E1041">
        <w:rPr>
          <w:szCs w:val="24"/>
        </w:rPr>
        <w:t>.</w:t>
      </w:r>
      <w:r w:rsidRPr="00E56C1E">
        <w:rPr>
          <w:szCs w:val="24"/>
        </w:rPr>
        <w:t xml:space="preserve"> </w:t>
      </w:r>
      <w:r w:rsidR="007E1041">
        <w:rPr>
          <w:szCs w:val="24"/>
        </w:rPr>
        <w:t>H</w:t>
      </w:r>
      <w:r w:rsidRPr="00E56C1E">
        <w:rPr>
          <w:szCs w:val="24"/>
        </w:rPr>
        <w:t xml:space="preserve">owever, its characterization of “suspicious activities” suggests an added element of surveillance. </w:t>
      </w:r>
      <w:proofErr w:type="spellStart"/>
      <w:r w:rsidRPr="00E56C1E">
        <w:rPr>
          <w:szCs w:val="24"/>
        </w:rPr>
        <w:t>Cloudwalk</w:t>
      </w:r>
      <w:proofErr w:type="spellEnd"/>
      <w:r w:rsidRPr="00E56C1E">
        <w:rPr>
          <w:szCs w:val="24"/>
        </w:rPr>
        <w:t xml:space="preserve"> also utilizes AI to generate crime prediction maps by analyzing historical crime data, social media, and weather to predict crime hotspots to </w:t>
      </w:r>
      <w:r w:rsidR="007E1041">
        <w:rPr>
          <w:szCs w:val="24"/>
        </w:rPr>
        <w:t>help</w:t>
      </w:r>
      <w:r w:rsidR="007E1041" w:rsidRPr="00E56C1E">
        <w:rPr>
          <w:szCs w:val="24"/>
        </w:rPr>
        <w:t xml:space="preserve"> </w:t>
      </w:r>
      <w:r w:rsidRPr="00E56C1E">
        <w:rPr>
          <w:szCs w:val="24"/>
        </w:rPr>
        <w:t>police allocate resources for police patrolling.</w:t>
      </w:r>
      <w:r w:rsidRPr="00E56C1E">
        <w:rPr>
          <w:rStyle w:val="NoterefInText"/>
        </w:rPr>
        <w:footnoteReference w:id="89"/>
      </w:r>
      <w:r w:rsidRPr="00E56C1E">
        <w:rPr>
          <w:szCs w:val="24"/>
        </w:rPr>
        <w:t xml:space="preserve"> </w:t>
      </w:r>
      <w:r w:rsidRPr="00E56C1E">
        <w:rPr>
          <w:szCs w:val="24"/>
        </w:rPr>
        <w:br/>
      </w:r>
      <w:r w:rsidRPr="00E56C1E">
        <w:rPr>
          <w:szCs w:val="24"/>
        </w:rPr>
        <w:tab/>
        <w:t>One Chinese city has recently gained attention across the world for extending the use of predictive policing algorithms</w:t>
      </w:r>
      <w:r w:rsidR="007E1041">
        <w:rPr>
          <w:szCs w:val="24"/>
        </w:rPr>
        <w:t>.</w:t>
      </w:r>
      <w:r w:rsidRPr="00E56C1E">
        <w:rPr>
          <w:szCs w:val="24"/>
        </w:rPr>
        <w:t xml:space="preserve"> </w:t>
      </w:r>
      <w:r w:rsidR="007E1041">
        <w:rPr>
          <w:szCs w:val="24"/>
        </w:rPr>
        <w:t>T</w:t>
      </w:r>
      <w:r w:rsidRPr="00E56C1E">
        <w:rPr>
          <w:szCs w:val="24"/>
        </w:rPr>
        <w:t>he city of Guiyang has deployed an AI surveillance system called Skynet, installing over 10,000 cameras across the city to allow police to locate and arrest suspects using real-time facial recognition.</w:t>
      </w:r>
      <w:r w:rsidRPr="00E56C1E">
        <w:rPr>
          <w:rStyle w:val="NoterefInText"/>
        </w:rPr>
        <w:footnoteReference w:id="90"/>
      </w:r>
      <w:r w:rsidRPr="00E56C1E">
        <w:rPr>
          <w:szCs w:val="24"/>
        </w:rPr>
        <w:t xml:space="preserve"> China is now expanding this type of surveillance capabili</w:t>
      </w:r>
      <w:r w:rsidR="007E1041">
        <w:rPr>
          <w:szCs w:val="24"/>
        </w:rPr>
        <w:t>ty</w:t>
      </w:r>
      <w:r w:rsidRPr="00E56C1E">
        <w:rPr>
          <w:szCs w:val="24"/>
        </w:rPr>
        <w:t xml:space="preserve"> nationwide, and there are currently 170 surveillance cameras in China.</w:t>
      </w:r>
      <w:r w:rsidRPr="00E56C1E">
        <w:rPr>
          <w:rStyle w:val="NoterefInText"/>
        </w:rPr>
        <w:footnoteReference w:id="91"/>
      </w:r>
      <w:r w:rsidRPr="00E56C1E">
        <w:rPr>
          <w:szCs w:val="24"/>
        </w:rPr>
        <w:t xml:space="preserve"> Officials have stated that they wish to “use this information to predict crime before it happens.”</w:t>
      </w:r>
      <w:r w:rsidRPr="00E56C1E">
        <w:rPr>
          <w:rStyle w:val="NoterefInText"/>
        </w:rPr>
        <w:footnoteReference w:id="92"/>
      </w:r>
      <w:r w:rsidRPr="00E56C1E">
        <w:rPr>
          <w:szCs w:val="24"/>
        </w:rPr>
        <w:t xml:space="preserve"> Despite this intention, it has yet to be confirmed whether Chinese police enforcement has used Skynet to pursue its original goal.</w:t>
      </w:r>
    </w:p>
    <w:p w14:paraId="24ACE12B" w14:textId="7AA11663" w:rsidR="00E56C1E" w:rsidRPr="00E56C1E" w:rsidRDefault="00E56C1E" w:rsidP="00E56C1E">
      <w:pPr>
        <w:pStyle w:val="Document"/>
      </w:pPr>
      <w:r w:rsidRPr="00E56C1E">
        <w:rPr>
          <w:szCs w:val="24"/>
        </w:rPr>
        <w:t>Ethical concerns highlight the lack of balance between state security and individual freedoms in the use of AI to monitor citizens in public places in China.</w:t>
      </w:r>
      <w:r w:rsidRPr="00E56C1E">
        <w:rPr>
          <w:rStyle w:val="NoterefInText"/>
        </w:rPr>
        <w:footnoteReference w:id="93"/>
      </w:r>
      <w:r w:rsidRPr="00E56C1E">
        <w:rPr>
          <w:szCs w:val="24"/>
        </w:rPr>
        <w:t xml:space="preserve"> However, China has maintained a harsh stance regarding accusations of human rights concerns over their use of AI as a tool for predictive policing. For example, the Global Times, a Chinese news outlet, has reported the Skynet system, and those across China, “do</w:t>
      </w:r>
      <w:r w:rsidR="007E1041">
        <w:rPr>
          <w:szCs w:val="24"/>
        </w:rPr>
        <w:t>[]</w:t>
      </w:r>
      <w:r w:rsidRPr="00E56C1E">
        <w:rPr>
          <w:szCs w:val="24"/>
        </w:rPr>
        <w:t xml:space="preserve"> not infringe on people’s privacy and human rights, as facial information is only collected in public places.”</w:t>
      </w:r>
      <w:r w:rsidRPr="00E56C1E">
        <w:rPr>
          <w:rStyle w:val="NoterefInText"/>
        </w:rPr>
        <w:footnoteReference w:id="94"/>
      </w:r>
      <w:r w:rsidRPr="00E56C1E">
        <w:rPr>
          <w:szCs w:val="24"/>
        </w:rPr>
        <w:t xml:space="preserve"> On the one hand, part of this issue stems from how China’s traditional values define a person’s rights differently than </w:t>
      </w:r>
      <w:r w:rsidR="007E1041">
        <w:rPr>
          <w:szCs w:val="24"/>
        </w:rPr>
        <w:t xml:space="preserve">those of </w:t>
      </w:r>
      <w:r w:rsidRPr="00E56C1E">
        <w:rPr>
          <w:szCs w:val="24"/>
        </w:rPr>
        <w:t xml:space="preserve">Western </w:t>
      </w:r>
      <w:r w:rsidR="007E1041">
        <w:rPr>
          <w:szCs w:val="24"/>
        </w:rPr>
        <w:t>c</w:t>
      </w:r>
      <w:r w:rsidRPr="00E56C1E">
        <w:rPr>
          <w:szCs w:val="24"/>
        </w:rPr>
        <w:t>ountries.</w:t>
      </w:r>
      <w:r w:rsidRPr="00E56C1E">
        <w:rPr>
          <w:rStyle w:val="NoterefInText"/>
        </w:rPr>
        <w:footnoteReference w:id="95"/>
      </w:r>
      <w:r w:rsidRPr="00E56C1E">
        <w:rPr>
          <w:szCs w:val="24"/>
        </w:rPr>
        <w:t xml:space="preserve"> On the other hand, China has adopted a “catch-up” approach in developing AI algorithms, supporting “national champions” who develop adequate AI systems with substantial funding and collaboration with other countries.</w:t>
      </w:r>
      <w:r w:rsidRPr="00E56C1E">
        <w:rPr>
          <w:rStyle w:val="NoterefInText"/>
        </w:rPr>
        <w:footnoteReference w:id="96"/>
      </w:r>
    </w:p>
    <w:p w14:paraId="783316E2" w14:textId="28F209D1" w:rsidR="00E56C1E" w:rsidRPr="00E56C1E" w:rsidRDefault="00E56C1E" w:rsidP="00E56C1E">
      <w:pPr>
        <w:pStyle w:val="Document"/>
      </w:pPr>
      <w:r w:rsidRPr="00E56C1E">
        <w:rPr>
          <w:szCs w:val="24"/>
        </w:rPr>
        <w:t xml:space="preserve">Furthermore, there is evidence that Chinese scientists and bureaucrats </w:t>
      </w:r>
      <w:r w:rsidRPr="00E56C1E">
        <w:rPr>
          <w:szCs w:val="24"/>
        </w:rPr>
        <w:lastRenderedPageBreak/>
        <w:t>disagree about AI policy, which can be seen in the different implementation plans enacted by various technology groups. For instance, the “Internet Plus</w:t>
      </w:r>
      <w:r w:rsidR="00583196">
        <w:rPr>
          <w:szCs w:val="24"/>
        </w:rPr>
        <w:t>”</w:t>
      </w:r>
      <w:r w:rsidRPr="00E56C1E">
        <w:rPr>
          <w:szCs w:val="24"/>
        </w:rPr>
        <w:t xml:space="preserve"> and AI Three-Year Implementation Plan designate four agencies as the leaders of advancing the AI industry in China: the NDRC, the MOST, the MIIT, and the Cyberspace Administration of China.</w:t>
      </w:r>
      <w:r w:rsidRPr="00E56C1E">
        <w:rPr>
          <w:rStyle w:val="NoterefInText"/>
        </w:rPr>
        <w:footnoteReference w:id="97"/>
      </w:r>
      <w:r w:rsidRPr="00E56C1E">
        <w:rPr>
          <w:szCs w:val="24"/>
        </w:rPr>
        <w:t xml:space="preserve"> In contrast, the State Council has its place</w:t>
      </w:r>
      <w:r w:rsidR="00583196">
        <w:rPr>
          <w:szCs w:val="24"/>
        </w:rPr>
        <w:t>, too, with t</w:t>
      </w:r>
      <w:r w:rsidRPr="00E56C1E">
        <w:rPr>
          <w:szCs w:val="24"/>
        </w:rPr>
        <w:t>he “New Generation AI Development Plan,” which calls for the establishment of an AI Plan Implementation Office under the M</w:t>
      </w:r>
      <w:r w:rsidR="00284948">
        <w:rPr>
          <w:szCs w:val="24"/>
        </w:rPr>
        <w:t>O</w:t>
      </w:r>
      <w:r w:rsidRPr="00E56C1E">
        <w:rPr>
          <w:szCs w:val="24"/>
        </w:rPr>
        <w:t>ST.</w:t>
      </w:r>
      <w:r w:rsidRPr="00E56C1E">
        <w:rPr>
          <w:rStyle w:val="NoterefInText"/>
        </w:rPr>
        <w:footnoteReference w:id="98"/>
      </w:r>
      <w:r w:rsidRPr="00E56C1E">
        <w:rPr>
          <w:szCs w:val="24"/>
        </w:rPr>
        <w:t xml:space="preserve"> While China has taken steps to implement policies surrounding AI, it is important to note the country’s stark views on human rights and privacy, which are substantially different from countries such as the United States and the European Union.</w:t>
      </w:r>
    </w:p>
    <w:p w14:paraId="732FC74A" w14:textId="17152DE9" w:rsidR="00E56C1E" w:rsidRPr="00E56C1E" w:rsidRDefault="00E56C1E" w:rsidP="00E56C1E">
      <w:pPr>
        <w:pStyle w:val="Document"/>
      </w:pPr>
      <w:r w:rsidRPr="00E56C1E">
        <w:rPr>
          <w:szCs w:val="24"/>
        </w:rPr>
        <w:t>Surprisingly, however, substantive discussions about the ethical implications of AI are emerging in China. A new book by Tencent’s Research Institutes calls for stronger awareness of AI safety issues such as “strong regulations” and “controlling spells.”</w:t>
      </w:r>
      <w:r w:rsidRPr="00E56C1E">
        <w:rPr>
          <w:rStyle w:val="NoterefInText"/>
        </w:rPr>
        <w:footnoteReference w:id="99"/>
      </w:r>
      <w:r w:rsidRPr="00E56C1E">
        <w:rPr>
          <w:szCs w:val="24"/>
        </w:rPr>
        <w:t xml:space="preserve"> Furthermore, the Chinese government has outlined plans for AI safety measures in the State Council’s AI plans, which affirmatively states that by 2025, China will have established AI laws and ethical regulations.</w:t>
      </w:r>
      <w:r w:rsidRPr="00E56C1E">
        <w:rPr>
          <w:rStyle w:val="NoterefInText"/>
        </w:rPr>
        <w:footnoteReference w:id="100"/>
      </w:r>
      <w:r w:rsidRPr="00E56C1E">
        <w:rPr>
          <w:szCs w:val="24"/>
        </w:rPr>
        <w:t xml:space="preserve"> Although no specifics were given, China predicts that it will have implemented these laws and regulations into a policy system by 2030.</w:t>
      </w:r>
      <w:r w:rsidRPr="00E56C1E">
        <w:rPr>
          <w:rStyle w:val="NoterefInText"/>
        </w:rPr>
        <w:footnoteReference w:id="101"/>
      </w:r>
      <w:r w:rsidRPr="00E56C1E">
        <w:rPr>
          <w:szCs w:val="24"/>
        </w:rPr>
        <w:t xml:space="preserve"> Here, the fact that AI may be the first domain in which China successfully becomes an international trendsetter is an important consideration.</w:t>
      </w:r>
      <w:r w:rsidRPr="00E56C1E">
        <w:rPr>
          <w:rStyle w:val="NoterefInText"/>
        </w:rPr>
        <w:footnoteReference w:id="102"/>
      </w:r>
      <w:r w:rsidRPr="00E56C1E">
        <w:rPr>
          <w:szCs w:val="24"/>
        </w:rPr>
        <w:t xml:space="preserve"> Evidence for this consideration can be seen in the case of the International Organization for Standardization / International Electrotechnical Commission (ISO/IEC) Joint Technical Committee (JTC), one of the largest international technical organizations</w:t>
      </w:r>
      <w:r w:rsidR="00583196">
        <w:rPr>
          <w:szCs w:val="24"/>
        </w:rPr>
        <w:t xml:space="preserve"> in the world</w:t>
      </w:r>
      <w:r w:rsidRPr="00E56C1E">
        <w:rPr>
          <w:szCs w:val="24"/>
        </w:rPr>
        <w:t>, and the fact that it held its first meeting in Beijing, appointing Wael Diab, a senior director at Huawei, as its first chair of the JTC.</w:t>
      </w:r>
      <w:r w:rsidRPr="00E56C1E">
        <w:rPr>
          <w:rStyle w:val="NoterefInText"/>
        </w:rPr>
        <w:footnoteReference w:id="103"/>
      </w:r>
      <w:r w:rsidRPr="00E56C1E">
        <w:rPr>
          <w:szCs w:val="24"/>
        </w:rPr>
        <w:t xml:space="preserve"> These discussions, however, also must be viewed in the context of its views, or lack thereof, of individual privacy.</w:t>
      </w:r>
    </w:p>
    <w:p w14:paraId="48A2334A" w14:textId="77777777" w:rsidR="00E56C1E" w:rsidRPr="00E56C1E" w:rsidRDefault="00E56C1E" w:rsidP="00E56C1E">
      <w:pPr>
        <w:pStyle w:val="SubHead2"/>
      </w:pPr>
      <w:bookmarkStart w:id="10" w:name="_Toc190939247"/>
      <w:r>
        <w:t>C.</w:t>
      </w:r>
      <w:r>
        <w:tab/>
      </w:r>
      <w:r w:rsidRPr="00E56C1E">
        <w:t>India</w:t>
      </w:r>
      <w:bookmarkEnd w:id="10"/>
    </w:p>
    <w:p w14:paraId="215B1DF5" w14:textId="658B87D7" w:rsidR="00E56C1E" w:rsidRPr="00E56C1E" w:rsidRDefault="00E56C1E" w:rsidP="00E56C1E">
      <w:pPr>
        <w:pStyle w:val="Document"/>
      </w:pPr>
      <w:r w:rsidRPr="00E56C1E">
        <w:rPr>
          <w:szCs w:val="24"/>
        </w:rPr>
        <w:t xml:space="preserve">In the last two decades, India has emerged as a leader in AI technology development, ranking eighth among the top ten countries in the world for AI and fourth in the </w:t>
      </w:r>
      <w:r w:rsidR="00D71055">
        <w:rPr>
          <w:szCs w:val="24"/>
        </w:rPr>
        <w:t xml:space="preserve">world in the </w:t>
      </w:r>
      <w:r w:rsidRPr="00E56C1E">
        <w:rPr>
          <w:szCs w:val="24"/>
        </w:rPr>
        <w:t>production of scholarly Notes relating to AI.</w:t>
      </w:r>
      <w:r w:rsidRPr="00E56C1E">
        <w:rPr>
          <w:rStyle w:val="NoterefInText"/>
        </w:rPr>
        <w:footnoteReference w:id="104"/>
      </w:r>
      <w:r w:rsidRPr="00E56C1E">
        <w:rPr>
          <w:szCs w:val="24"/>
        </w:rPr>
        <w:t xml:space="preserve"> Several Indian states have adopted various AI-driven predictive policing systems. In January 2020, </w:t>
      </w:r>
      <w:r w:rsidR="003E20D3">
        <w:rPr>
          <w:szCs w:val="24"/>
        </w:rPr>
        <w:t>the state of</w:t>
      </w:r>
      <w:r w:rsidR="00B40964">
        <w:rPr>
          <w:szCs w:val="24"/>
        </w:rPr>
        <w:t xml:space="preserve"> H</w:t>
      </w:r>
      <w:r w:rsidRPr="00E56C1E">
        <w:rPr>
          <w:szCs w:val="24"/>
        </w:rPr>
        <w:t xml:space="preserve">imachal Pradesh installed over 19,000 </w:t>
      </w:r>
      <w:r w:rsidRPr="00E56C1E">
        <w:rPr>
          <w:szCs w:val="24"/>
        </w:rPr>
        <w:lastRenderedPageBreak/>
        <w:t>CCTV cameras (the “CCTV Surveillance Matrix) to strengthen its predictive methods.</w:t>
      </w:r>
      <w:r w:rsidRPr="00E56C1E">
        <w:rPr>
          <w:rStyle w:val="NoterefInText"/>
        </w:rPr>
        <w:footnoteReference w:id="105"/>
      </w:r>
      <w:r w:rsidRPr="00E56C1E">
        <w:rPr>
          <w:szCs w:val="24"/>
        </w:rPr>
        <w:t xml:space="preserve"> Uttar Pradesh, which holds about 17% of India’s population, has declared its focus on AI-based predictive policing to identify high-risk areas and prevent crimes.</w:t>
      </w:r>
      <w:r w:rsidRPr="00E56C1E">
        <w:rPr>
          <w:rStyle w:val="NoterefInText"/>
        </w:rPr>
        <w:footnoteReference w:id="106"/>
      </w:r>
      <w:r w:rsidRPr="00E56C1E">
        <w:rPr>
          <w:szCs w:val="24"/>
        </w:rPr>
        <w:t xml:space="preserve"> Each of the AI systems typically processes data, including historical crime, geographical information, satellite images, emergency calls, CCTV, and socioeconomic conditions, to name a few.</w:t>
      </w:r>
      <w:r w:rsidRPr="00E56C1E">
        <w:rPr>
          <w:rStyle w:val="NoterefInText"/>
        </w:rPr>
        <w:footnoteReference w:id="107"/>
      </w:r>
      <w:r w:rsidRPr="00E56C1E">
        <w:rPr>
          <w:szCs w:val="24"/>
        </w:rPr>
        <w:t xml:space="preserve"> The National Crime Records Bureau of India has also recently publicized India’s Automated Face Recognition System, which will be used for “criminal identification, certification, and its dissemination among various police organizations and units across the country.”</w:t>
      </w:r>
      <w:r w:rsidRPr="00E56C1E">
        <w:rPr>
          <w:rStyle w:val="NoterefInText"/>
        </w:rPr>
        <w:footnoteReference w:id="108"/>
      </w:r>
      <w:r w:rsidRPr="00E56C1E">
        <w:rPr>
          <w:szCs w:val="24"/>
        </w:rPr>
        <w:t xml:space="preserve"> India’s population size provides one reason why such algorithms are useful</w:t>
      </w:r>
      <w:r w:rsidR="003E20D3">
        <w:rPr>
          <w:szCs w:val="24"/>
        </w:rPr>
        <w:t>,</w:t>
      </w:r>
      <w:r w:rsidRPr="00E56C1E">
        <w:rPr>
          <w:szCs w:val="24"/>
        </w:rPr>
        <w:t xml:space="preserve"> as its high population size makes it difficult for India’s police to be able to respond to every issue</w:t>
      </w:r>
      <w:r w:rsidR="003E20D3">
        <w:rPr>
          <w:szCs w:val="24"/>
        </w:rPr>
        <w:t xml:space="preserve"> its citizens raise</w:t>
      </w:r>
      <w:r w:rsidRPr="00E56C1E">
        <w:rPr>
          <w:szCs w:val="24"/>
        </w:rPr>
        <w:t>.</w:t>
      </w:r>
      <w:r w:rsidRPr="00E56C1E">
        <w:rPr>
          <w:rStyle w:val="NoterefInText"/>
        </w:rPr>
        <w:footnoteReference w:id="109"/>
      </w:r>
    </w:p>
    <w:p w14:paraId="68DBB4AA" w14:textId="48330C5B" w:rsidR="00E56C1E" w:rsidRPr="00E56C1E" w:rsidRDefault="00E56C1E" w:rsidP="00E56C1E">
      <w:pPr>
        <w:pStyle w:val="Document"/>
      </w:pPr>
      <w:r w:rsidRPr="00E56C1E">
        <w:rPr>
          <w:szCs w:val="24"/>
        </w:rPr>
        <w:t>This discussion will focus on New Delhi</w:t>
      </w:r>
      <w:r w:rsidR="003E20D3">
        <w:rPr>
          <w:szCs w:val="24"/>
        </w:rPr>
        <w:t xml:space="preserve"> </w:t>
      </w:r>
      <w:r w:rsidRPr="00E56C1E">
        <w:rPr>
          <w:szCs w:val="24"/>
        </w:rPr>
        <w:t>as it is India’s nation’s capital</w:t>
      </w:r>
      <w:r w:rsidR="003E20D3">
        <w:rPr>
          <w:szCs w:val="24"/>
        </w:rPr>
        <w:t>,</w:t>
      </w:r>
      <w:r w:rsidRPr="00E56C1E">
        <w:rPr>
          <w:szCs w:val="24"/>
        </w:rPr>
        <w:t xml:space="preserve"> with a population of close to 30 million people, and is one of the first cities in the country to implement predictive policing systems.</w:t>
      </w:r>
      <w:r w:rsidRPr="00E56C1E">
        <w:rPr>
          <w:rStyle w:val="NoterefInText"/>
        </w:rPr>
        <w:footnoteReference w:id="110"/>
      </w:r>
      <w:r w:rsidRPr="00E56C1E">
        <w:rPr>
          <w:szCs w:val="24"/>
        </w:rPr>
        <w:t xml:space="preserve"> The capital’s initiatives regarding predictive policing methods are especially notable</w:t>
      </w:r>
      <w:r w:rsidR="00E2401A">
        <w:rPr>
          <w:szCs w:val="24"/>
        </w:rPr>
        <w:t xml:space="preserve"> because of its </w:t>
      </w:r>
      <w:r w:rsidRPr="00E56C1E">
        <w:rPr>
          <w:szCs w:val="24"/>
        </w:rPr>
        <w:t>high records of female violence, providing higher scrutiny of its police interventions throughout the country.</w:t>
      </w:r>
      <w:r w:rsidRPr="00E56C1E">
        <w:rPr>
          <w:rStyle w:val="NoterefInText"/>
        </w:rPr>
        <w:footnoteReference w:id="111"/>
      </w:r>
      <w:r w:rsidRPr="00E56C1E">
        <w:rPr>
          <w:szCs w:val="24"/>
        </w:rPr>
        <w:t xml:space="preserve"> In 2015, New Delhi’s law enforcement announced that it would implement the use of its Crime Mapping, Analysis, and Mapping System (CMAPs), a predictive policing system, that uses emergency calls to predict crime hotspots.</w:t>
      </w:r>
      <w:r w:rsidRPr="00E56C1E">
        <w:rPr>
          <w:rStyle w:val="NoterefInText"/>
        </w:rPr>
        <w:footnoteReference w:id="112"/>
      </w:r>
      <w:r w:rsidRPr="00E56C1E">
        <w:rPr>
          <w:szCs w:val="24"/>
        </w:rPr>
        <w:t xml:space="preserve"> CMAPs were created in partnership with the Indian Space Research Organization to use data from India’s emergency call center and historical data from the First Information Report (FIR) stored in the Criminal Tracking Network Systems (CCTNs) of New Delhi. </w:t>
      </w:r>
      <w:r w:rsidRPr="00E56C1E">
        <w:rPr>
          <w:rStyle w:val="NoterefInText"/>
        </w:rPr>
        <w:footnoteReference w:id="113"/>
      </w:r>
      <w:r w:rsidRPr="00E56C1E">
        <w:rPr>
          <w:szCs w:val="24"/>
        </w:rPr>
        <w:t xml:space="preserve"> This system is also being used by the Gurugram and Kolkata Police.</w:t>
      </w:r>
      <w:r w:rsidRPr="00E56C1E">
        <w:rPr>
          <w:rStyle w:val="NoterefInText"/>
        </w:rPr>
        <w:footnoteReference w:id="114"/>
      </w:r>
      <w:r w:rsidRPr="00E56C1E">
        <w:rPr>
          <w:szCs w:val="24"/>
        </w:rPr>
        <w:t xml:space="preserve"> Public domain reporting has shown that CMAPs have been a successful algorithm tool for the Delhi police</w:t>
      </w:r>
      <w:r w:rsidR="00155216">
        <w:rPr>
          <w:szCs w:val="24"/>
        </w:rPr>
        <w:t>,</w:t>
      </w:r>
      <w:r w:rsidRPr="00E56C1E">
        <w:rPr>
          <w:szCs w:val="24"/>
        </w:rPr>
        <w:t xml:space="preserve"> with instances of its use saving lives and assisting with arrests. However, it is important to note that CMAP is the state’s first attempt to use AI in crime hotspot mapping, which means that its true effects are still unknown.</w:t>
      </w:r>
      <w:r w:rsidRPr="00E56C1E">
        <w:rPr>
          <w:rStyle w:val="NoterefInText"/>
        </w:rPr>
        <w:footnoteReference w:id="115"/>
      </w:r>
    </w:p>
    <w:p w14:paraId="18724EA5" w14:textId="58A3ED89" w:rsidR="00E56C1E" w:rsidRPr="00E56C1E" w:rsidRDefault="00E56C1E" w:rsidP="00E56C1E">
      <w:pPr>
        <w:pStyle w:val="Document"/>
      </w:pPr>
      <w:r w:rsidRPr="00E56C1E">
        <w:rPr>
          <w:szCs w:val="24"/>
        </w:rPr>
        <w:lastRenderedPageBreak/>
        <w:t xml:space="preserve">One concern in India is the biased performance of predictive policing systems due to their rapid development. Meena argues that such predictive policing systems in India may result in biased performance if the systems are trained with datasets consisting of certain faces, such as </w:t>
      </w:r>
      <w:r w:rsidR="00155216">
        <w:rPr>
          <w:szCs w:val="24"/>
        </w:rPr>
        <w:t xml:space="preserve">those of </w:t>
      </w:r>
      <w:r w:rsidRPr="00E56C1E">
        <w:rPr>
          <w:szCs w:val="24"/>
        </w:rPr>
        <w:t>women, children, and minorities.</w:t>
      </w:r>
      <w:r w:rsidRPr="00E56C1E">
        <w:rPr>
          <w:rStyle w:val="NoterefInText"/>
        </w:rPr>
        <w:footnoteReference w:id="116"/>
      </w:r>
      <w:r w:rsidRPr="00E56C1E">
        <w:rPr>
          <w:szCs w:val="24"/>
        </w:rPr>
        <w:t xml:space="preserve"> Empirical evidence demonstrates that there is an imbalance of police stations throughout Delhi,</w:t>
      </w:r>
      <w:r w:rsidR="00155216">
        <w:rPr>
          <w:szCs w:val="24"/>
        </w:rPr>
        <w:t xml:space="preserve"> and </w:t>
      </w:r>
      <w:r w:rsidRPr="00E56C1E">
        <w:rPr>
          <w:szCs w:val="24"/>
        </w:rPr>
        <w:t>police stations tend to be concentrated in Muslim populations.</w:t>
      </w:r>
      <w:r w:rsidRPr="00E56C1E">
        <w:rPr>
          <w:rStyle w:val="NoterefInText"/>
        </w:rPr>
        <w:footnoteReference w:id="117"/>
      </w:r>
      <w:r w:rsidRPr="00E56C1E">
        <w:rPr>
          <w:szCs w:val="24"/>
        </w:rPr>
        <w:t xml:space="preserve"> This higher concentration directly affects predictive policing</w:t>
      </w:r>
      <w:r w:rsidR="00155216">
        <w:rPr>
          <w:szCs w:val="24"/>
        </w:rPr>
        <w:t>,</w:t>
      </w:r>
      <w:r w:rsidRPr="00E56C1E">
        <w:rPr>
          <w:szCs w:val="24"/>
        </w:rPr>
        <w:t xml:space="preserve"> as these areas would have more CCTV cameras, which Meena suggests may lead to over-policing and a higher </w:t>
      </w:r>
      <w:r w:rsidR="00155216">
        <w:rPr>
          <w:szCs w:val="24"/>
        </w:rPr>
        <w:t>likelihood</w:t>
      </w:r>
      <w:r w:rsidRPr="00E56C1E">
        <w:rPr>
          <w:szCs w:val="24"/>
        </w:rPr>
        <w:t xml:space="preserve"> of errors.</w:t>
      </w:r>
      <w:r w:rsidRPr="00E56C1E">
        <w:rPr>
          <w:rStyle w:val="NoterefInText"/>
        </w:rPr>
        <w:footnoteReference w:id="118"/>
      </w:r>
      <w:r w:rsidRPr="00E56C1E">
        <w:rPr>
          <w:szCs w:val="24"/>
        </w:rPr>
        <w:t xml:space="preserve"> This concern must be balanced, however, with India’s large population size and the need for</w:t>
      </w:r>
      <w:r w:rsidR="00155216">
        <w:rPr>
          <w:szCs w:val="24"/>
        </w:rPr>
        <w:t xml:space="preserve"> the</w:t>
      </w:r>
      <w:r w:rsidRPr="00E56C1E">
        <w:rPr>
          <w:szCs w:val="24"/>
        </w:rPr>
        <w:t xml:space="preserve"> police to allocate its resources to address all crime situations.</w:t>
      </w:r>
    </w:p>
    <w:p w14:paraId="07B3BC19" w14:textId="6C43C55E" w:rsidR="00E56C1E" w:rsidRPr="00E56C1E" w:rsidRDefault="00E56C1E" w:rsidP="00E56C1E">
      <w:pPr>
        <w:pStyle w:val="Document"/>
      </w:pPr>
      <w:r w:rsidRPr="00E56C1E">
        <w:rPr>
          <w:szCs w:val="24"/>
        </w:rPr>
        <w:t xml:space="preserve">India calls its approach to the regulation of predictive policing systems as the need for </w:t>
      </w:r>
      <w:r w:rsidR="00155216">
        <w:rPr>
          <w:szCs w:val="24"/>
        </w:rPr>
        <w:t>“</w:t>
      </w:r>
      <w:r w:rsidRPr="00E56C1E">
        <w:rPr>
          <w:szCs w:val="24"/>
        </w:rPr>
        <w:t>Responsible AI.</w:t>
      </w:r>
      <w:r w:rsidR="00155216">
        <w:rPr>
          <w:szCs w:val="24"/>
        </w:rPr>
        <w:t>”</w:t>
      </w:r>
      <w:r w:rsidRPr="00E56C1E">
        <w:rPr>
          <w:rStyle w:val="NoterefInText"/>
        </w:rPr>
        <w:footnoteReference w:id="119"/>
      </w:r>
      <w:r w:rsidRPr="00E56C1E">
        <w:rPr>
          <w:szCs w:val="24"/>
        </w:rPr>
        <w:t xml:space="preserve"> This approach prioritizes ethical and legal considerations and stresses the need for transparency for those creating and using AI systems to align with the country’s societal values.</w:t>
      </w:r>
      <w:r w:rsidRPr="00E56C1E">
        <w:rPr>
          <w:rStyle w:val="NoterefInText"/>
        </w:rPr>
        <w:footnoteReference w:id="120"/>
      </w:r>
      <w:r w:rsidRPr="00E56C1E">
        <w:rPr>
          <w:szCs w:val="24"/>
        </w:rPr>
        <w:t xml:space="preserve"> India’s role as a leader in AI development is reflected in the country’s attempts to encourage its responsible use. For example, the Ministry of Electronics and Information Technology (</w:t>
      </w:r>
      <w:proofErr w:type="spellStart"/>
      <w:r w:rsidRPr="00E56C1E">
        <w:rPr>
          <w:szCs w:val="24"/>
        </w:rPr>
        <w:t>MeitY</w:t>
      </w:r>
      <w:proofErr w:type="spellEnd"/>
      <w:r w:rsidRPr="00E56C1E">
        <w:rPr>
          <w:szCs w:val="24"/>
        </w:rPr>
        <w:t>) has a National Strategy for AI to outline legal and ethical considerations for AI use in the country.</w:t>
      </w:r>
      <w:r w:rsidRPr="00E56C1E">
        <w:rPr>
          <w:rStyle w:val="NoterefInText"/>
        </w:rPr>
        <w:footnoteReference w:id="121"/>
      </w:r>
      <w:r w:rsidRPr="00E56C1E">
        <w:rPr>
          <w:szCs w:val="24"/>
        </w:rPr>
        <w:t xml:space="preserve"> Certain institutions have put effort into developing these considerations, such as the “AI and Ethics in India” manifesto by the Centre for Internet and Society (CIS) that illustrates principles to abide by in using AI.</w:t>
      </w:r>
      <w:r w:rsidRPr="00E56C1E">
        <w:rPr>
          <w:rStyle w:val="NoterefInText"/>
        </w:rPr>
        <w:footnoteReference w:id="122"/>
      </w:r>
    </w:p>
    <w:p w14:paraId="7151A236" w14:textId="77777777" w:rsidR="00E56C1E" w:rsidRPr="00E56C1E" w:rsidRDefault="00E56C1E" w:rsidP="00E56C1E">
      <w:pPr>
        <w:pStyle w:val="Document"/>
      </w:pPr>
      <w:r w:rsidRPr="00E56C1E">
        <w:rPr>
          <w:szCs w:val="24"/>
        </w:rPr>
        <w:t>India’s government has also shown deference to responsible AI, publishing a policy document in February 2021 called “Principles for Responsible AI” in February 2021.</w:t>
      </w:r>
      <w:r w:rsidRPr="00E56C1E">
        <w:rPr>
          <w:rStyle w:val="NoterefInText"/>
        </w:rPr>
        <w:footnoteReference w:id="123"/>
      </w:r>
      <w:r w:rsidRPr="00E56C1E">
        <w:rPr>
          <w:szCs w:val="24"/>
        </w:rPr>
        <w:t xml:space="preserve"> Moreover, the government, along with academics and companies, played a role in the 2020 Responsible AI for Social Empowerment (RAISE) summit, inviting AI experts from around the world to establish frameworks for the use of AI in different sectors, including law enforcement.</w:t>
      </w:r>
      <w:r w:rsidRPr="00E56C1E">
        <w:rPr>
          <w:rStyle w:val="NoterefInText"/>
        </w:rPr>
        <w:footnoteReference w:id="124"/>
      </w:r>
      <w:r w:rsidRPr="00E56C1E">
        <w:rPr>
          <w:szCs w:val="24"/>
        </w:rPr>
        <w:t xml:space="preserve"> Despite these steps, Indian law enforcement has exhibited instances of bias,</w:t>
      </w:r>
      <w:r w:rsidRPr="00E56C1E">
        <w:rPr>
          <w:rStyle w:val="NoterefInText"/>
        </w:rPr>
        <w:footnoteReference w:id="125"/>
      </w:r>
      <w:r w:rsidRPr="00E56C1E">
        <w:rPr>
          <w:szCs w:val="24"/>
        </w:rPr>
        <w:t xml:space="preserve"> and there is still concern that these predictive policing </w:t>
      </w:r>
      <w:r w:rsidRPr="00E56C1E">
        <w:rPr>
          <w:szCs w:val="24"/>
        </w:rPr>
        <w:lastRenderedPageBreak/>
        <w:t>systems will perpetuate such biases.</w:t>
      </w:r>
      <w:r w:rsidRPr="00E56C1E">
        <w:rPr>
          <w:rStyle w:val="NoterefInText"/>
        </w:rPr>
        <w:footnoteReference w:id="126"/>
      </w:r>
    </w:p>
    <w:p w14:paraId="12F3BBF8" w14:textId="77777777" w:rsidR="00E56C1E" w:rsidRPr="00E56C1E" w:rsidRDefault="00E56C1E" w:rsidP="00E56C1E">
      <w:pPr>
        <w:pStyle w:val="SubHead2"/>
      </w:pPr>
      <w:bookmarkStart w:id="11" w:name="_Toc190939248"/>
      <w:r>
        <w:t>D.</w:t>
      </w:r>
      <w:r>
        <w:tab/>
      </w:r>
      <w:r w:rsidRPr="00E56C1E">
        <w:t>European Union (EU)</w:t>
      </w:r>
      <w:bookmarkEnd w:id="11"/>
    </w:p>
    <w:p w14:paraId="2B245B66" w14:textId="18869DC9" w:rsidR="00E56C1E" w:rsidRPr="00E56C1E" w:rsidRDefault="00E56C1E" w:rsidP="00E56C1E">
      <w:pPr>
        <w:pStyle w:val="Document"/>
        <w:rPr>
          <w:i/>
        </w:rPr>
      </w:pPr>
      <w:r w:rsidRPr="00E56C1E">
        <w:rPr>
          <w:szCs w:val="24"/>
        </w:rPr>
        <w:t>The EU is notable for subjecting its member countries to its proactive approach to regulating AI technologies. The General Protection Regulation (GDPR) provides stringent guidelines that require transparency in how data is used, stating that European citizens have the right to the protection of their own data.</w:t>
      </w:r>
      <w:r w:rsidRPr="00E56C1E">
        <w:rPr>
          <w:rStyle w:val="NoterefInText"/>
        </w:rPr>
        <w:footnoteReference w:id="127"/>
      </w:r>
      <w:r w:rsidRPr="00E56C1E">
        <w:rPr>
          <w:szCs w:val="24"/>
        </w:rPr>
        <w:t xml:space="preserve"> </w:t>
      </w:r>
      <w:r w:rsidR="00A356C7">
        <w:rPr>
          <w:szCs w:val="24"/>
        </w:rPr>
        <w:t>“</w:t>
      </w:r>
      <w:r w:rsidRPr="00E56C1E">
        <w:rPr>
          <w:szCs w:val="24"/>
        </w:rPr>
        <w:t>Information privacy</w:t>
      </w:r>
      <w:r w:rsidR="00A356C7">
        <w:rPr>
          <w:szCs w:val="24"/>
        </w:rPr>
        <w:t>”</w:t>
      </w:r>
      <w:r w:rsidRPr="00E56C1E">
        <w:rPr>
          <w:szCs w:val="24"/>
        </w:rPr>
        <w:t xml:space="preserve"> refers to what U.S. lawyers consider broadly as </w:t>
      </w:r>
      <w:r w:rsidR="00A356C7">
        <w:rPr>
          <w:szCs w:val="24"/>
        </w:rPr>
        <w:t>“</w:t>
      </w:r>
      <w:r w:rsidRPr="00E56C1E">
        <w:rPr>
          <w:szCs w:val="24"/>
        </w:rPr>
        <w:t>data protection.</w:t>
      </w:r>
      <w:r w:rsidR="00A356C7">
        <w:rPr>
          <w:szCs w:val="24"/>
        </w:rPr>
        <w:t>”</w:t>
      </w:r>
      <w:bookmarkStart w:id="12" w:name="_Ref191907406"/>
      <w:r w:rsidRPr="00E56C1E">
        <w:rPr>
          <w:rStyle w:val="NoterefInText"/>
        </w:rPr>
        <w:footnoteReference w:id="128"/>
      </w:r>
      <w:bookmarkEnd w:id="12"/>
      <w:r w:rsidRPr="00E56C1E">
        <w:rPr>
          <w:szCs w:val="24"/>
          <w:vertAlign w:val="superscript"/>
        </w:rPr>
        <w:t xml:space="preserve"> </w:t>
      </w:r>
      <w:r w:rsidRPr="00E56C1E">
        <w:rPr>
          <w:szCs w:val="24"/>
        </w:rPr>
        <w:t>The creation of this law stems from the fact that Europe has long acknowledged privacy explicitly as a human right.</w:t>
      </w:r>
      <w:r w:rsidRPr="00E56C1E">
        <w:rPr>
          <w:rStyle w:val="NoterefInText"/>
        </w:rPr>
        <w:footnoteReference w:id="129"/>
      </w:r>
      <w:r w:rsidRPr="00E56C1E">
        <w:rPr>
          <w:szCs w:val="24"/>
        </w:rPr>
        <w:t xml:space="preserve"> In contrast to the laws of the United States regarding data collection, the European’s respect of privacy goes beyond the home to include protections for “family, life, communications, reputation and privacy in the context of data processing.” Thus, the EU’s GDPR law and its application to AI must be assessed under such ethical considerations.</w:t>
      </w:r>
    </w:p>
    <w:p w14:paraId="0892582F" w14:textId="24720DA2" w:rsidR="00E56C1E" w:rsidRPr="00E56C1E" w:rsidRDefault="00E56C1E" w:rsidP="00E56C1E">
      <w:pPr>
        <w:pStyle w:val="Document"/>
      </w:pPr>
      <w:r w:rsidRPr="00E56C1E">
        <w:rPr>
          <w:szCs w:val="24"/>
        </w:rPr>
        <w:t xml:space="preserve">The GDPR applies when </w:t>
      </w:r>
      <w:r w:rsidR="00A356C7">
        <w:rPr>
          <w:szCs w:val="24"/>
        </w:rPr>
        <w:t>“</w:t>
      </w:r>
      <w:r w:rsidRPr="00E56C1E">
        <w:rPr>
          <w:szCs w:val="24"/>
        </w:rPr>
        <w:t>personal data</w:t>
      </w:r>
      <w:r w:rsidR="00A356C7">
        <w:rPr>
          <w:szCs w:val="24"/>
        </w:rPr>
        <w:t>”</w:t>
      </w:r>
      <w:r w:rsidRPr="00E56C1E">
        <w:rPr>
          <w:szCs w:val="24"/>
        </w:rPr>
        <w:t xml:space="preserve"> is processed, defining this as “any operation or set of operations which is performed on personal data or sets of personal data, whether or not automated means.”</w:t>
      </w:r>
      <w:r w:rsidRPr="00E56C1E">
        <w:rPr>
          <w:rStyle w:val="NoterefInText"/>
        </w:rPr>
        <w:footnoteReference w:id="130"/>
      </w:r>
      <w:r w:rsidRPr="00E56C1E">
        <w:rPr>
          <w:szCs w:val="24"/>
        </w:rPr>
        <w:t xml:space="preserve"> This broad definition means that it could be applied to all types of personal and public information. Its implications can apply whenever an organization uses data that involves an individual, regardless of whether the data is public, private, sensitive, or identifiable.</w:t>
      </w:r>
      <w:r w:rsidRPr="00E56C1E">
        <w:rPr>
          <w:rStyle w:val="NoterefInText"/>
        </w:rPr>
        <w:footnoteReference w:id="131"/>
      </w:r>
      <w:r w:rsidRPr="00E56C1E">
        <w:rPr>
          <w:szCs w:val="24"/>
        </w:rPr>
        <w:t xml:space="preserve"> Law enforcement agencies must demonstrate that their use of AI is necessary and </w:t>
      </w:r>
      <w:r w:rsidR="00A356C7">
        <w:rPr>
          <w:szCs w:val="24"/>
        </w:rPr>
        <w:t>ap</w:t>
      </w:r>
      <w:r w:rsidRPr="00E56C1E">
        <w:rPr>
          <w:szCs w:val="24"/>
        </w:rPr>
        <w:t>prop</w:t>
      </w:r>
      <w:r w:rsidR="00A356C7">
        <w:rPr>
          <w:szCs w:val="24"/>
        </w:rPr>
        <w:t>r</w:t>
      </w:r>
      <w:r w:rsidRPr="00E56C1E">
        <w:rPr>
          <w:szCs w:val="24"/>
        </w:rPr>
        <w:t>iate, thereby preventing the abuse of surveillance technologies.</w:t>
      </w:r>
      <w:r w:rsidRPr="00E56C1E">
        <w:rPr>
          <w:rStyle w:val="NoterefInText"/>
        </w:rPr>
        <w:footnoteReference w:id="132"/>
      </w:r>
      <w:r w:rsidRPr="00E56C1E">
        <w:rPr>
          <w:szCs w:val="24"/>
        </w:rPr>
        <w:t xml:space="preserve"> In this way, the GDPR considers individual rights and values a certain level of transparency from agencies that implement AI technologies.</w:t>
      </w:r>
    </w:p>
    <w:p w14:paraId="6D430F70" w14:textId="7E1A11E7" w:rsidR="00E56C1E" w:rsidRPr="00E56C1E" w:rsidRDefault="00E56C1E" w:rsidP="00E56C1E">
      <w:pPr>
        <w:pStyle w:val="Document"/>
      </w:pPr>
      <w:r w:rsidRPr="00E56C1E">
        <w:rPr>
          <w:szCs w:val="24"/>
        </w:rPr>
        <w:t>Additionally, the EU has enacted an AI Act, which is a risk-based model and provides a risk-based model for how artificial intelligence is utilized.</w:t>
      </w:r>
      <w:r w:rsidRPr="00E56C1E">
        <w:rPr>
          <w:rStyle w:val="NoterefInText"/>
        </w:rPr>
        <w:footnoteReference w:id="133"/>
      </w:r>
      <w:r w:rsidRPr="00E56C1E">
        <w:rPr>
          <w:szCs w:val="24"/>
        </w:rPr>
        <w:t xml:space="preserve"> The Act categorizes risk into three categories: first, those that create an unacceptable risk are banned; second, high-risk applications are subject to specific legal requirements; and, third, applications that don’t fall into the first two categories are mostly left unregulated.</w:t>
      </w:r>
      <w:r w:rsidRPr="00E56C1E">
        <w:rPr>
          <w:rStyle w:val="NoterefInText"/>
        </w:rPr>
        <w:footnoteReference w:id="134"/>
      </w:r>
      <w:r w:rsidRPr="00E56C1E">
        <w:rPr>
          <w:szCs w:val="24"/>
        </w:rPr>
        <w:t xml:space="preserve"> By banning “unacceptable risks,” the AI Act regulate</w:t>
      </w:r>
      <w:r w:rsidR="00A356C7">
        <w:rPr>
          <w:szCs w:val="24"/>
        </w:rPr>
        <w:t>s</w:t>
      </w:r>
      <w:r w:rsidRPr="00E56C1E">
        <w:rPr>
          <w:szCs w:val="24"/>
        </w:rPr>
        <w:t xml:space="preserve"> the use of algorithms that could reinforce discriminatory practices.</w:t>
      </w:r>
      <w:r w:rsidRPr="00E56C1E">
        <w:rPr>
          <w:rStyle w:val="NoterefInText"/>
        </w:rPr>
        <w:footnoteReference w:id="135"/>
      </w:r>
      <w:r w:rsidRPr="00E56C1E">
        <w:rPr>
          <w:szCs w:val="24"/>
        </w:rPr>
        <w:t xml:space="preserve"> This Act goes so far as to explicitly prohibit </w:t>
      </w:r>
      <w:r w:rsidRPr="00E56C1E">
        <w:rPr>
          <w:szCs w:val="24"/>
        </w:rPr>
        <w:lastRenderedPageBreak/>
        <w:t>systems for predicting the occurrence or recurrence of actual or potential criminal offenses based on profiling of individuals or assessing their personality traits, characteristics, location, or past criminal behavior.</w:t>
      </w:r>
      <w:r w:rsidRPr="00E56C1E">
        <w:rPr>
          <w:rStyle w:val="NoterefInText"/>
        </w:rPr>
        <w:footnoteReference w:id="136"/>
      </w:r>
    </w:p>
    <w:p w14:paraId="62D59E02" w14:textId="77777777" w:rsidR="00E56C1E" w:rsidRPr="00E56C1E" w:rsidRDefault="00E56C1E" w:rsidP="00E56C1E">
      <w:pPr>
        <w:pStyle w:val="Document"/>
      </w:pPr>
      <w:r w:rsidRPr="00E56C1E">
        <w:rPr>
          <w:szCs w:val="24"/>
        </w:rPr>
        <w:t>Lastly, the EU has also made efforts to address algorithmic bias in predictive policing algorithms. The EU Agency for Fundamental Rights (FRA) has announced its recommendations to combat discrimination that exists in the AI systems currently used by law enforcement.</w:t>
      </w:r>
      <w:r w:rsidRPr="00E56C1E">
        <w:rPr>
          <w:rStyle w:val="NoterefInText"/>
        </w:rPr>
        <w:footnoteReference w:id="137"/>
      </w:r>
      <w:r w:rsidRPr="00E56C1E">
        <w:rPr>
          <w:szCs w:val="24"/>
        </w:rPr>
        <w:t xml:space="preserve"> The FRA uses an earthquake policing model to highlight sources of bias that may lead to </w:t>
      </w:r>
      <w:proofErr w:type="spellStart"/>
      <w:r w:rsidRPr="00E56C1E">
        <w:rPr>
          <w:szCs w:val="24"/>
        </w:rPr>
        <w:t>overpolicing</w:t>
      </w:r>
      <w:proofErr w:type="spellEnd"/>
      <w:r w:rsidRPr="00E56C1E">
        <w:rPr>
          <w:szCs w:val="24"/>
        </w:rPr>
        <w:t xml:space="preserve"> and </w:t>
      </w:r>
      <w:proofErr w:type="spellStart"/>
      <w:r w:rsidRPr="00E56C1E">
        <w:rPr>
          <w:szCs w:val="24"/>
        </w:rPr>
        <w:t>underpolicing</w:t>
      </w:r>
      <w:proofErr w:type="spellEnd"/>
      <w:r w:rsidRPr="00E56C1E">
        <w:rPr>
          <w:szCs w:val="24"/>
        </w:rPr>
        <w:t xml:space="preserve"> of certain neighborhoods.</w:t>
      </w:r>
      <w:r w:rsidRPr="00E56C1E">
        <w:rPr>
          <w:rStyle w:val="NoterefInText"/>
        </w:rPr>
        <w:footnoteReference w:id="138"/>
      </w:r>
      <w:r w:rsidRPr="00E56C1E">
        <w:rPr>
          <w:szCs w:val="24"/>
        </w:rPr>
        <w:t xml:space="preserve"> These results suggest that training data may influence the future use of predictive policing algorithms, and increasing transparency of such assessments as a first step in combatting discriminatory practices.</w:t>
      </w:r>
      <w:r w:rsidRPr="00E56C1E">
        <w:rPr>
          <w:rStyle w:val="NoterefInText"/>
        </w:rPr>
        <w:footnoteReference w:id="139"/>
      </w:r>
      <w:r w:rsidRPr="00E56C1E">
        <w:rPr>
          <w:szCs w:val="24"/>
        </w:rPr>
        <w:t xml:space="preserve"> The FRA also notes that the EU should also use existing laws to ensure consistent protection against discrimination in all areas of AI usage.</w:t>
      </w:r>
      <w:r w:rsidRPr="00E56C1E">
        <w:rPr>
          <w:rStyle w:val="NoterefInText"/>
        </w:rPr>
        <w:footnoteReference w:id="140"/>
      </w:r>
      <w:r w:rsidRPr="00E56C1E">
        <w:rPr>
          <w:szCs w:val="24"/>
        </w:rPr>
        <w:t xml:space="preserve"> Lastly, the FRA extends its call to combat diversity by addressing language diversity in Natural Language Processing tools to mitigate bias.</w:t>
      </w:r>
      <w:r w:rsidRPr="00E56C1E">
        <w:rPr>
          <w:rStyle w:val="NoterefInText"/>
        </w:rPr>
        <w:footnoteReference w:id="141"/>
      </w:r>
    </w:p>
    <w:p w14:paraId="713463CE" w14:textId="46CB548F" w:rsidR="00E56C1E" w:rsidRPr="00E56C1E" w:rsidRDefault="00E56C1E" w:rsidP="00E56C1E">
      <w:pPr>
        <w:pStyle w:val="Document"/>
      </w:pPr>
      <w:r w:rsidRPr="00E56C1E">
        <w:rPr>
          <w:szCs w:val="24"/>
        </w:rPr>
        <w:t>The AI Act has been recently approved,</w:t>
      </w:r>
      <w:r w:rsidR="00A356C7">
        <w:rPr>
          <w:szCs w:val="24"/>
        </w:rPr>
        <w:t xml:space="preserve"> including </w:t>
      </w:r>
      <w:r w:rsidRPr="00E56C1E">
        <w:rPr>
          <w:szCs w:val="24"/>
        </w:rPr>
        <w:t>its ban on certain high-risk AI systems used for predictive policing.</w:t>
      </w:r>
      <w:r w:rsidRPr="00E56C1E">
        <w:rPr>
          <w:rStyle w:val="NoterefInText"/>
        </w:rPr>
        <w:footnoteReference w:id="142"/>
      </w:r>
      <w:r w:rsidRPr="00E56C1E">
        <w:rPr>
          <w:szCs w:val="24"/>
        </w:rPr>
        <w:t xml:space="preserve"> It is the first and only act currently existing that provides a legal framework governing the use of AI.</w:t>
      </w:r>
      <w:r w:rsidRPr="00E56C1E">
        <w:rPr>
          <w:rStyle w:val="NoterefInText"/>
        </w:rPr>
        <w:footnoteReference w:id="143"/>
      </w:r>
      <w:r w:rsidRPr="00E56C1E">
        <w:rPr>
          <w:szCs w:val="24"/>
        </w:rPr>
        <w:t xml:space="preserve"> Internationally, the Act has made some progress; in September 2021, Brazil’s Congress passed a bill, creating a legal framework for artificial intelligence.</w:t>
      </w:r>
      <w:r w:rsidRPr="00E56C1E">
        <w:rPr>
          <w:rStyle w:val="NoterefInText"/>
        </w:rPr>
        <w:footnoteReference w:id="144"/>
      </w:r>
      <w:r w:rsidRPr="00E56C1E">
        <w:rPr>
          <w:b/>
          <w:szCs w:val="24"/>
        </w:rPr>
        <w:t xml:space="preserve"> </w:t>
      </w:r>
      <w:r w:rsidR="00A356C7">
        <w:rPr>
          <w:szCs w:val="24"/>
        </w:rPr>
        <w:t xml:space="preserve">The </w:t>
      </w:r>
      <w:r w:rsidRPr="00E56C1E">
        <w:rPr>
          <w:szCs w:val="24"/>
        </w:rPr>
        <w:t>EU</w:t>
      </w:r>
      <w:r w:rsidR="00A356C7">
        <w:rPr>
          <w:szCs w:val="24"/>
        </w:rPr>
        <w:t>’s approach to monitoring</w:t>
      </w:r>
      <w:r w:rsidRPr="00E56C1E">
        <w:rPr>
          <w:szCs w:val="24"/>
        </w:rPr>
        <w:t xml:space="preserve"> AI regulation</w:t>
      </w:r>
      <w:r w:rsidR="00A356C7">
        <w:rPr>
          <w:szCs w:val="24"/>
        </w:rPr>
        <w:t xml:space="preserve"> across various countries represents a significant step toward broader legal oversight</w:t>
      </w:r>
      <w:r w:rsidRPr="00E56C1E">
        <w:rPr>
          <w:szCs w:val="24"/>
        </w:rPr>
        <w:t>, and its success in the EU may influence other countries to adopt similar measures.</w:t>
      </w:r>
      <w:bookmarkStart w:id="13" w:name="_Ref191907621"/>
      <w:r w:rsidRPr="00E56C1E">
        <w:rPr>
          <w:rStyle w:val="NoterefInText"/>
        </w:rPr>
        <w:footnoteReference w:id="145"/>
      </w:r>
      <w:bookmarkEnd w:id="13"/>
    </w:p>
    <w:p w14:paraId="2D3D4F08" w14:textId="77777777" w:rsidR="00E56C1E" w:rsidRPr="00E56C1E" w:rsidRDefault="00E56C1E" w:rsidP="00E56C1E">
      <w:pPr>
        <w:pStyle w:val="SubHead2"/>
      </w:pPr>
      <w:bookmarkStart w:id="14" w:name="_Toc190939249"/>
      <w:r>
        <w:t>E.</w:t>
      </w:r>
      <w:r>
        <w:tab/>
      </w:r>
      <w:r w:rsidRPr="00E56C1E">
        <w:t>Germany</w:t>
      </w:r>
      <w:bookmarkEnd w:id="14"/>
    </w:p>
    <w:p w14:paraId="2FCEB1A0" w14:textId="66BE98C2" w:rsidR="00E56C1E" w:rsidRPr="00E56C1E" w:rsidRDefault="00E56C1E" w:rsidP="00E56C1E">
      <w:pPr>
        <w:pStyle w:val="Document"/>
      </w:pPr>
      <w:r w:rsidRPr="00E56C1E">
        <w:rPr>
          <w:szCs w:val="24"/>
        </w:rPr>
        <w:t xml:space="preserve">Germany is notable for its significant shift away from using predictive policing algorithms. As a member of the EU, </w:t>
      </w:r>
      <w:r w:rsidR="00A356C7">
        <w:rPr>
          <w:szCs w:val="24"/>
        </w:rPr>
        <w:t xml:space="preserve">Germany’s approach is </w:t>
      </w:r>
      <w:r w:rsidRPr="00E56C1E">
        <w:rPr>
          <w:szCs w:val="24"/>
        </w:rPr>
        <w:t xml:space="preserve">illustrative in the context of the EU’s regulation of AI </w:t>
      </w:r>
      <w:r w:rsidR="00A356C7">
        <w:rPr>
          <w:szCs w:val="24"/>
        </w:rPr>
        <w:t xml:space="preserve">and its impact </w:t>
      </w:r>
      <w:r w:rsidRPr="00E56C1E">
        <w:rPr>
          <w:szCs w:val="24"/>
        </w:rPr>
        <w:t xml:space="preserve">on its law enforcement agencies. On February 16. 2023, the German Federal </w:t>
      </w:r>
      <w:r w:rsidRPr="00E56C1E">
        <w:rPr>
          <w:szCs w:val="24"/>
        </w:rPr>
        <w:lastRenderedPageBreak/>
        <w:t xml:space="preserve">Constitutional Court, declared the use of </w:t>
      </w:r>
      <w:r w:rsidR="00D71055" w:rsidRPr="00E56C1E">
        <w:rPr>
          <w:szCs w:val="24"/>
        </w:rPr>
        <w:t>Palantir</w:t>
      </w:r>
      <w:r w:rsidRPr="00E56C1E">
        <w:rPr>
          <w:szCs w:val="24"/>
        </w:rPr>
        <w:t>,</w:t>
      </w:r>
      <w:r w:rsidR="00A356C7">
        <w:rPr>
          <w:szCs w:val="24"/>
        </w:rPr>
        <w:t xml:space="preserve"> a </w:t>
      </w:r>
      <w:r w:rsidRPr="00E56C1E">
        <w:rPr>
          <w:szCs w:val="24"/>
        </w:rPr>
        <w:t>policing surveillance software, unconstitutional for its discriminatory impact, as well as on the right to informational self-determination (a German concept equivalent to privacy).</w:t>
      </w:r>
      <w:r w:rsidRPr="00E56C1E">
        <w:rPr>
          <w:rStyle w:val="NoterefInText"/>
        </w:rPr>
        <w:footnoteReference w:id="146"/>
      </w:r>
      <w:r w:rsidRPr="00E56C1E">
        <w:rPr>
          <w:szCs w:val="24"/>
        </w:rPr>
        <w:t xml:space="preserve"> The algorithm at issue</w:t>
      </w:r>
      <w:r w:rsidR="00A356C7">
        <w:rPr>
          <w:szCs w:val="24"/>
        </w:rPr>
        <w:t xml:space="preserve">, </w:t>
      </w:r>
      <w:r w:rsidRPr="00E56C1E">
        <w:rPr>
          <w:szCs w:val="24"/>
        </w:rPr>
        <w:t>used in the state of Hesse</w:t>
      </w:r>
      <w:r w:rsidR="00A356C7">
        <w:rPr>
          <w:szCs w:val="24"/>
        </w:rPr>
        <w:t>,</w:t>
      </w:r>
      <w:r w:rsidRPr="00E56C1E">
        <w:rPr>
          <w:szCs w:val="24"/>
        </w:rPr>
        <w:t xml:space="preserve"> detect</w:t>
      </w:r>
      <w:r w:rsidR="00A356C7">
        <w:rPr>
          <w:szCs w:val="24"/>
        </w:rPr>
        <w:t>ed</w:t>
      </w:r>
      <w:r w:rsidRPr="00E56C1E">
        <w:rPr>
          <w:szCs w:val="24"/>
        </w:rPr>
        <w:t xml:space="preserve"> crime hotspots based on both crime models and socio-economic census data.</w:t>
      </w:r>
      <w:r w:rsidRPr="00E56C1E">
        <w:rPr>
          <w:rStyle w:val="NoterefInText"/>
        </w:rPr>
        <w:footnoteReference w:id="147"/>
      </w:r>
      <w:r w:rsidRPr="00E56C1E">
        <w:rPr>
          <w:szCs w:val="24"/>
        </w:rPr>
        <w:t xml:space="preserve"> The system then gives predictions of future crimes in the same way as other models used around the world. The immediate effects of this ruling required law enforcement in Hesse to rewrite its software provisions, while law enforcement in Hamburg </w:t>
      </w:r>
      <w:r w:rsidR="00A356C7">
        <w:rPr>
          <w:szCs w:val="24"/>
        </w:rPr>
        <w:t xml:space="preserve">had to </w:t>
      </w:r>
      <w:r w:rsidRPr="00E56C1E">
        <w:rPr>
          <w:szCs w:val="24"/>
        </w:rPr>
        <w:t>nullify the technology it was developing.</w:t>
      </w:r>
      <w:r w:rsidRPr="00E56C1E">
        <w:rPr>
          <w:rStyle w:val="NoterefInText"/>
        </w:rPr>
        <w:footnoteReference w:id="148"/>
      </w:r>
      <w:r w:rsidRPr="00E56C1E">
        <w:rPr>
          <w:szCs w:val="24"/>
        </w:rPr>
        <w:t xml:space="preserve"> This landmark ruling highlights </w:t>
      </w:r>
      <w:r w:rsidR="00A356C7">
        <w:rPr>
          <w:szCs w:val="24"/>
        </w:rPr>
        <w:t>a significant</w:t>
      </w:r>
      <w:r w:rsidR="00A356C7" w:rsidRPr="00E56C1E">
        <w:rPr>
          <w:szCs w:val="24"/>
        </w:rPr>
        <w:t xml:space="preserve"> </w:t>
      </w:r>
      <w:r w:rsidRPr="00E56C1E">
        <w:rPr>
          <w:szCs w:val="24"/>
        </w:rPr>
        <w:t>instance of a country raising the implications of the use of AI for policing in a legal setting.</w:t>
      </w:r>
      <w:r w:rsidRPr="00E56C1E">
        <w:rPr>
          <w:rStyle w:val="NoterefInText"/>
        </w:rPr>
        <w:footnoteReference w:id="149"/>
      </w:r>
      <w:r w:rsidRPr="00E56C1E">
        <w:rPr>
          <w:szCs w:val="24"/>
        </w:rPr>
        <w:br/>
      </w:r>
      <w:r w:rsidRPr="00E56C1E">
        <w:rPr>
          <w:szCs w:val="24"/>
        </w:rPr>
        <w:tab/>
        <w:t xml:space="preserve">To contextualize this court decision, it is important to understand the extent to which AI was used in policing.  The federal state of Bavaria implemented the country’s first predictive policing algorithm in 2015 to prevent and </w:t>
      </w:r>
      <w:r w:rsidR="00A356C7">
        <w:rPr>
          <w:szCs w:val="24"/>
        </w:rPr>
        <w:t xml:space="preserve">investigate </w:t>
      </w:r>
      <w:r w:rsidRPr="00E56C1E">
        <w:rPr>
          <w:szCs w:val="24"/>
        </w:rPr>
        <w:t xml:space="preserve">criminal offenses, later </w:t>
      </w:r>
      <w:r w:rsidR="00A356C7">
        <w:rPr>
          <w:szCs w:val="24"/>
        </w:rPr>
        <w:t>adopted</w:t>
      </w:r>
      <w:r w:rsidR="00A356C7" w:rsidRPr="00E56C1E">
        <w:rPr>
          <w:szCs w:val="24"/>
        </w:rPr>
        <w:t xml:space="preserve"> </w:t>
      </w:r>
      <w:r w:rsidRPr="00E56C1E">
        <w:rPr>
          <w:szCs w:val="24"/>
        </w:rPr>
        <w:t>by</w:t>
      </w:r>
      <w:r w:rsidR="00A356C7">
        <w:rPr>
          <w:szCs w:val="24"/>
        </w:rPr>
        <w:t xml:space="preserve"> </w:t>
      </w:r>
      <w:r w:rsidRPr="00E56C1E">
        <w:rPr>
          <w:szCs w:val="24"/>
        </w:rPr>
        <w:t>Baden-Württemberg.</w:t>
      </w:r>
      <w:r w:rsidRPr="00E56C1E">
        <w:rPr>
          <w:rStyle w:val="NoterefInText"/>
        </w:rPr>
        <w:footnoteReference w:id="150"/>
      </w:r>
      <w:r w:rsidRPr="00E56C1E">
        <w:rPr>
          <w:szCs w:val="24"/>
        </w:rPr>
        <w:t xml:space="preserve"> The Pre Crime Observation System (PRECOBS) used only crime data to focus on professional crime preparators </w:t>
      </w:r>
      <w:r w:rsidR="00AD3BB8">
        <w:rPr>
          <w:szCs w:val="24"/>
        </w:rPr>
        <w:t xml:space="preserve">and </w:t>
      </w:r>
      <w:r w:rsidRPr="00E56C1E">
        <w:rPr>
          <w:szCs w:val="24"/>
        </w:rPr>
        <w:t>provide</w:t>
      </w:r>
      <w:r w:rsidR="00AD3BB8">
        <w:rPr>
          <w:szCs w:val="24"/>
        </w:rPr>
        <w:t>d</w:t>
      </w:r>
      <w:r w:rsidRPr="00E56C1E">
        <w:rPr>
          <w:szCs w:val="24"/>
        </w:rPr>
        <w:t xml:space="preserve"> police with daily information on home-burglaries.</w:t>
      </w:r>
      <w:r w:rsidRPr="00E56C1E">
        <w:rPr>
          <w:rStyle w:val="NoterefInText"/>
        </w:rPr>
        <w:footnoteReference w:id="151"/>
      </w:r>
      <w:r w:rsidRPr="00E56C1E">
        <w:rPr>
          <w:szCs w:val="24"/>
        </w:rPr>
        <w:t xml:space="preserve"> A year later, Berlin began testing </w:t>
      </w:r>
      <w:proofErr w:type="spellStart"/>
      <w:r w:rsidRPr="00E56C1E">
        <w:rPr>
          <w:szCs w:val="24"/>
        </w:rPr>
        <w:t>KrimPro</w:t>
      </w:r>
      <w:proofErr w:type="spellEnd"/>
      <w:r w:rsidRPr="00E56C1E">
        <w:rPr>
          <w:szCs w:val="24"/>
        </w:rPr>
        <w:t xml:space="preserve"> as its solution for home burglaries, which was implemented across the entire city in 2017.</w:t>
      </w:r>
      <w:r w:rsidRPr="00E56C1E">
        <w:rPr>
          <w:rStyle w:val="NoterefInText"/>
        </w:rPr>
        <w:footnoteReference w:id="152"/>
      </w:r>
      <w:r w:rsidRPr="00E56C1E">
        <w:rPr>
          <w:szCs w:val="24"/>
        </w:rPr>
        <w:t xml:space="preserve"> </w:t>
      </w:r>
      <w:proofErr w:type="spellStart"/>
      <w:r w:rsidRPr="00E56C1E">
        <w:rPr>
          <w:szCs w:val="24"/>
        </w:rPr>
        <w:t>KrimPro</w:t>
      </w:r>
      <w:proofErr w:type="spellEnd"/>
      <w:r w:rsidRPr="00E56C1E">
        <w:rPr>
          <w:szCs w:val="24"/>
        </w:rPr>
        <w:t xml:space="preserve"> used both crime data and infrastructure data, and internal evaluations confirmed its success in reducing the number of burglaries in the city.</w:t>
      </w:r>
      <w:r w:rsidRPr="00E56C1E">
        <w:rPr>
          <w:rStyle w:val="NoterefInText"/>
        </w:rPr>
        <w:footnoteReference w:id="153"/>
      </w:r>
      <w:r w:rsidRPr="00E56C1E">
        <w:rPr>
          <w:szCs w:val="24"/>
        </w:rPr>
        <w:t xml:space="preserve"> In 2017, the State Office of Criminal Investigations in Hesse released an iPhone map that used both crime data and socio-economic census data to predict home burglaries, providing updates every morning to the general public.</w:t>
      </w:r>
      <w:r w:rsidRPr="00E56C1E">
        <w:rPr>
          <w:rStyle w:val="NoterefInText"/>
        </w:rPr>
        <w:footnoteReference w:id="154"/>
      </w:r>
      <w:r w:rsidRPr="00E56C1E">
        <w:rPr>
          <w:szCs w:val="24"/>
        </w:rPr>
        <w:t xml:space="preserve"> Lastly,</w:t>
      </w:r>
      <w:r w:rsidR="00AD3BB8">
        <w:rPr>
          <w:szCs w:val="24"/>
        </w:rPr>
        <w:t xml:space="preserve"> in 2015,</w:t>
      </w:r>
      <w:r w:rsidRPr="00E56C1E">
        <w:rPr>
          <w:szCs w:val="24"/>
        </w:rPr>
        <w:t xml:space="preserve"> the State Office of Criminal Investigations in North Rhine Westphalia carried out </w:t>
      </w:r>
      <w:r w:rsidR="00AD3BB8">
        <w:rPr>
          <w:szCs w:val="24"/>
        </w:rPr>
        <w:t xml:space="preserve">the </w:t>
      </w:r>
      <w:r w:rsidRPr="00E56C1E">
        <w:rPr>
          <w:szCs w:val="24"/>
        </w:rPr>
        <w:t>System for Crime Analysis and Anticipation (SKALA</w:t>
      </w:r>
      <w:r w:rsidR="00AD3BB8">
        <w:rPr>
          <w:szCs w:val="24"/>
        </w:rPr>
        <w:t xml:space="preserve">). This project, involving </w:t>
      </w:r>
      <w:r w:rsidRPr="00E56C1E">
        <w:rPr>
          <w:szCs w:val="24"/>
        </w:rPr>
        <w:t>major law enforcement agencies (Bonn, Cologne, Dusseldorf, Duisburg, Essen, and Gelsenkirchen) aim</w:t>
      </w:r>
      <w:r w:rsidR="00AD3BB8">
        <w:rPr>
          <w:szCs w:val="24"/>
        </w:rPr>
        <w:t>ed</w:t>
      </w:r>
      <w:r w:rsidRPr="00E56C1E">
        <w:rPr>
          <w:szCs w:val="24"/>
        </w:rPr>
        <w:t xml:space="preserve"> to expand predictive policing capabilities </w:t>
      </w:r>
      <w:r w:rsidR="00AD3BB8">
        <w:rPr>
          <w:szCs w:val="24"/>
        </w:rPr>
        <w:t>for</w:t>
      </w:r>
      <w:r w:rsidR="00AD3BB8" w:rsidRPr="00E56C1E">
        <w:rPr>
          <w:szCs w:val="24"/>
        </w:rPr>
        <w:t xml:space="preserve"> </w:t>
      </w:r>
      <w:r w:rsidRPr="00E56C1E">
        <w:rPr>
          <w:szCs w:val="24"/>
        </w:rPr>
        <w:t>detect</w:t>
      </w:r>
      <w:r w:rsidR="00AD3BB8">
        <w:rPr>
          <w:szCs w:val="24"/>
        </w:rPr>
        <w:t>ing</w:t>
      </w:r>
      <w:r w:rsidRPr="00E56C1E">
        <w:rPr>
          <w:szCs w:val="24"/>
        </w:rPr>
        <w:t xml:space="preserve"> home-burglaries </w:t>
      </w:r>
      <w:r w:rsidR="00AD3BB8">
        <w:rPr>
          <w:szCs w:val="24"/>
        </w:rPr>
        <w:t>citywide</w:t>
      </w:r>
      <w:r w:rsidRPr="00E56C1E">
        <w:rPr>
          <w:szCs w:val="24"/>
        </w:rPr>
        <w:t>.</w:t>
      </w:r>
      <w:r w:rsidRPr="00E56C1E">
        <w:rPr>
          <w:rStyle w:val="NoterefInText"/>
        </w:rPr>
        <w:footnoteReference w:id="155"/>
      </w:r>
      <w:r w:rsidRPr="00E56C1E">
        <w:rPr>
          <w:szCs w:val="24"/>
        </w:rPr>
        <w:t xml:space="preserve"> </w:t>
      </w:r>
      <w:r w:rsidR="00AD3BB8">
        <w:rPr>
          <w:szCs w:val="24"/>
        </w:rPr>
        <w:t>Completed</w:t>
      </w:r>
      <w:r w:rsidRPr="00E56C1E">
        <w:rPr>
          <w:szCs w:val="24"/>
        </w:rPr>
        <w:t xml:space="preserve"> in 2018, SKALA is </w:t>
      </w:r>
      <w:r w:rsidR="00AD3BB8">
        <w:rPr>
          <w:szCs w:val="24"/>
        </w:rPr>
        <w:t xml:space="preserve">now </w:t>
      </w:r>
      <w:r w:rsidRPr="00E56C1E">
        <w:rPr>
          <w:szCs w:val="24"/>
        </w:rPr>
        <w:t>Germany’s largest predictive policing algorithm</w:t>
      </w:r>
      <w:r w:rsidR="00AD3BB8">
        <w:rPr>
          <w:szCs w:val="24"/>
        </w:rPr>
        <w:t xml:space="preserve">, </w:t>
      </w:r>
      <w:r w:rsidRPr="00E56C1E">
        <w:rPr>
          <w:szCs w:val="24"/>
        </w:rPr>
        <w:t>implemented in 16 police departments.</w:t>
      </w:r>
      <w:r w:rsidRPr="00E56C1E">
        <w:rPr>
          <w:rStyle w:val="NoterefInText"/>
        </w:rPr>
        <w:footnoteReference w:id="156"/>
      </w:r>
    </w:p>
    <w:p w14:paraId="403CAD34" w14:textId="2A630BA6" w:rsidR="00E56C1E" w:rsidRPr="00E56C1E" w:rsidRDefault="00E56C1E" w:rsidP="00E56C1E">
      <w:pPr>
        <w:pStyle w:val="Document"/>
      </w:pPr>
      <w:r w:rsidRPr="00E56C1E">
        <w:rPr>
          <w:szCs w:val="24"/>
        </w:rPr>
        <w:t xml:space="preserve">The development of policing algorithms is premised on the German </w:t>
      </w:r>
      <w:r w:rsidRPr="00E56C1E">
        <w:rPr>
          <w:szCs w:val="24"/>
        </w:rPr>
        <w:lastRenderedPageBreak/>
        <w:t>theory called “Near Repeat-</w:t>
      </w:r>
      <w:proofErr w:type="spellStart"/>
      <w:r w:rsidRPr="00E56C1E">
        <w:rPr>
          <w:szCs w:val="24"/>
        </w:rPr>
        <w:t>Victimisation</w:t>
      </w:r>
      <w:proofErr w:type="spellEnd"/>
      <w:r w:rsidRPr="00E56C1E">
        <w:rPr>
          <w:szCs w:val="24"/>
        </w:rPr>
        <w:t>,” which stems from law enforcement’s acknowledgment that there is an increased risk for a follow-up crime in nearby areas where a crime has originally occurred.</w:t>
      </w:r>
      <w:bookmarkStart w:id="15" w:name="_Ref191907365"/>
      <w:r w:rsidRPr="00E56C1E">
        <w:rPr>
          <w:rStyle w:val="NoterefInText"/>
        </w:rPr>
        <w:footnoteReference w:id="157"/>
      </w:r>
      <w:bookmarkEnd w:id="15"/>
      <w:r w:rsidRPr="00E56C1E">
        <w:rPr>
          <w:szCs w:val="24"/>
        </w:rPr>
        <w:t xml:space="preserve"> This phenomenon was used as a variable in developing SKALA, using criminological and socio-scientific explanations to coordinate spatial and temporal distributions of home burglaries.</w:t>
      </w:r>
      <w:r w:rsidRPr="00E56C1E">
        <w:rPr>
          <w:rStyle w:val="NoterefInText"/>
        </w:rPr>
        <w:footnoteReference w:id="158"/>
      </w:r>
      <w:r w:rsidRPr="00E56C1E">
        <w:rPr>
          <w:szCs w:val="24"/>
        </w:rPr>
        <w:t xml:space="preserve"> </w:t>
      </w:r>
      <w:r w:rsidR="00385462">
        <w:rPr>
          <w:szCs w:val="24"/>
        </w:rPr>
        <w:t xml:space="preserve"> </w:t>
      </w:r>
      <w:r w:rsidRPr="00E56C1E">
        <w:rPr>
          <w:szCs w:val="24"/>
        </w:rPr>
        <w:t>Amelie Spell argues that th</w:t>
      </w:r>
      <w:r w:rsidR="00AD3BB8">
        <w:rPr>
          <w:szCs w:val="24"/>
        </w:rPr>
        <w:t xml:space="preserve">is </w:t>
      </w:r>
      <w:r w:rsidRPr="00E56C1E">
        <w:rPr>
          <w:szCs w:val="24"/>
        </w:rPr>
        <w:t xml:space="preserve">theory </w:t>
      </w:r>
      <w:proofErr w:type="spellStart"/>
      <w:r w:rsidR="00385462">
        <w:rPr>
          <w:szCs w:val="24"/>
        </w:rPr>
        <w:t>supports</w:t>
      </w:r>
      <w:r w:rsidR="00AD3BB8">
        <w:rPr>
          <w:szCs w:val="24"/>
        </w:rPr>
        <w:t>justifies</w:t>
      </w:r>
      <w:proofErr w:type="spellEnd"/>
      <w:r w:rsidR="00AD3BB8">
        <w:rPr>
          <w:szCs w:val="24"/>
        </w:rPr>
        <w:t xml:space="preserve"> </w:t>
      </w:r>
      <w:r w:rsidRPr="00E56C1E">
        <w:rPr>
          <w:szCs w:val="24"/>
        </w:rPr>
        <w:t xml:space="preserve">German law enforcement’s </w:t>
      </w:r>
      <w:r w:rsidR="00AD3BB8">
        <w:rPr>
          <w:szCs w:val="24"/>
        </w:rPr>
        <w:t xml:space="preserve">use of </w:t>
      </w:r>
      <w:r w:rsidRPr="00E56C1E">
        <w:rPr>
          <w:szCs w:val="24"/>
        </w:rPr>
        <w:t>predictive policing algorithms to improve its risk assessment</w:t>
      </w:r>
      <w:r w:rsidR="00385462">
        <w:rPr>
          <w:szCs w:val="24"/>
        </w:rPr>
        <w:t>,</w:t>
      </w:r>
      <w:r w:rsidRPr="00E56C1E">
        <w:rPr>
          <w:szCs w:val="24"/>
        </w:rPr>
        <w:t xml:space="preserve"> </w:t>
      </w:r>
      <w:r w:rsidR="00385462">
        <w:rPr>
          <w:szCs w:val="24"/>
        </w:rPr>
        <w:t xml:space="preserve">and </w:t>
      </w:r>
      <w:r w:rsidRPr="00E56C1E">
        <w:rPr>
          <w:szCs w:val="24"/>
        </w:rPr>
        <w:t>illustrates its increasing dependency on such algorithms.</w:t>
      </w:r>
      <w:r w:rsidRPr="00E56C1E">
        <w:rPr>
          <w:rStyle w:val="NoterefInText"/>
        </w:rPr>
        <w:footnoteReference w:id="159"/>
      </w:r>
      <w:r w:rsidRPr="00E56C1E">
        <w:rPr>
          <w:szCs w:val="24"/>
        </w:rPr>
        <w:t xml:space="preserve"> </w:t>
      </w:r>
      <w:r w:rsidR="00385462">
        <w:rPr>
          <w:szCs w:val="24"/>
        </w:rPr>
        <w:t xml:space="preserve"> </w:t>
      </w:r>
      <w:r w:rsidRPr="00E56C1E">
        <w:rPr>
          <w:szCs w:val="24"/>
        </w:rPr>
        <w:t xml:space="preserve">Spell notes that works, reports, and press releases </w:t>
      </w:r>
      <w:r w:rsidR="00385462">
        <w:rPr>
          <w:szCs w:val="24"/>
        </w:rPr>
        <w:t xml:space="preserve">about </w:t>
      </w:r>
      <w:r w:rsidRPr="00E56C1E">
        <w:rPr>
          <w:szCs w:val="24"/>
        </w:rPr>
        <w:t>Predictive Policing in Germany describe the need for “</w:t>
      </w:r>
      <w:proofErr w:type="spellStart"/>
      <w:r w:rsidRPr="00E56C1E">
        <w:rPr>
          <w:szCs w:val="24"/>
        </w:rPr>
        <w:t>Verbrechensbekämpfung</w:t>
      </w:r>
      <w:proofErr w:type="spellEnd"/>
      <w:r w:rsidRPr="00E56C1E">
        <w:rPr>
          <w:szCs w:val="24"/>
        </w:rPr>
        <w:t>” (fighting crime)</w:t>
      </w:r>
      <w:r w:rsidR="00385462">
        <w:rPr>
          <w:szCs w:val="24"/>
        </w:rPr>
        <w:t>.  Spell</w:t>
      </w:r>
      <w:r w:rsidRPr="00E56C1E">
        <w:rPr>
          <w:szCs w:val="24"/>
        </w:rPr>
        <w:t xml:space="preserve"> cit</w:t>
      </w:r>
      <w:r w:rsidR="00385462">
        <w:rPr>
          <w:szCs w:val="24"/>
        </w:rPr>
        <w:t>es</w:t>
      </w:r>
      <w:r w:rsidRPr="00E56C1E">
        <w:rPr>
          <w:szCs w:val="24"/>
        </w:rPr>
        <w:t xml:space="preserve"> informational posts from police in Baden-Württemberg that suggest </w:t>
      </w:r>
      <w:r w:rsidR="00385462">
        <w:rPr>
          <w:szCs w:val="24"/>
        </w:rPr>
        <w:t xml:space="preserve">police </w:t>
      </w:r>
      <w:r w:rsidRPr="00E56C1E">
        <w:rPr>
          <w:szCs w:val="24"/>
        </w:rPr>
        <w:t>work is just as efficient without PRECOBS software.</w:t>
      </w:r>
      <w:r w:rsidRPr="00E56C1E">
        <w:rPr>
          <w:rStyle w:val="NoterefInText"/>
        </w:rPr>
        <w:footnoteReference w:id="160"/>
      </w:r>
      <w:r w:rsidRPr="00E56C1E">
        <w:rPr>
          <w:szCs w:val="24"/>
        </w:rPr>
        <w:t xml:space="preserve"> Although German records suggest that the Predictive Policing software is merely an aid to “fighting crime,” Spell believes that the increased use of such algorithms makes law enforcement more reliant on its ability to analyze data.</w:t>
      </w:r>
      <w:r w:rsidRPr="00E56C1E">
        <w:rPr>
          <w:rStyle w:val="NoterefInText"/>
        </w:rPr>
        <w:footnoteReference w:id="161"/>
      </w:r>
      <w:r w:rsidRPr="00E56C1E">
        <w:rPr>
          <w:szCs w:val="24"/>
        </w:rPr>
        <w:t xml:space="preserve">  </w:t>
      </w:r>
      <w:r w:rsidR="00385462">
        <w:rPr>
          <w:szCs w:val="24"/>
        </w:rPr>
        <w:t>Spell d</w:t>
      </w:r>
      <w:r w:rsidRPr="00E56C1E">
        <w:rPr>
          <w:szCs w:val="24"/>
        </w:rPr>
        <w:t>efin</w:t>
      </w:r>
      <w:r w:rsidR="00385462">
        <w:rPr>
          <w:szCs w:val="24"/>
        </w:rPr>
        <w:t>es</w:t>
      </w:r>
      <w:r w:rsidRPr="00E56C1E">
        <w:rPr>
          <w:szCs w:val="24"/>
        </w:rPr>
        <w:t xml:space="preserve"> the role of risk assessment in predictive policing algorithms as the “means that the software computes results. . . based on data provided to the algorithm</w:t>
      </w:r>
      <w:r w:rsidR="00385462">
        <w:rPr>
          <w:szCs w:val="24"/>
        </w:rPr>
        <w:t>.</w:t>
      </w:r>
      <w:r w:rsidRPr="00E56C1E">
        <w:rPr>
          <w:szCs w:val="24"/>
        </w:rPr>
        <w:t xml:space="preserve">” </w:t>
      </w:r>
      <w:r w:rsidR="00385462">
        <w:rPr>
          <w:szCs w:val="24"/>
        </w:rPr>
        <w:t xml:space="preserve"> In other words,</w:t>
      </w:r>
      <w:r w:rsidRPr="00E56C1E">
        <w:rPr>
          <w:szCs w:val="24"/>
        </w:rPr>
        <w:t xml:space="preserve"> </w:t>
      </w:r>
      <w:proofErr w:type="gramStart"/>
      <w:r w:rsidR="00E72B7E" w:rsidRPr="00E56C1E">
        <w:rPr>
          <w:szCs w:val="24"/>
        </w:rPr>
        <w:t>Spell</w:t>
      </w:r>
      <w:proofErr w:type="gramEnd"/>
      <w:r w:rsidR="00E72B7E" w:rsidRPr="00E56C1E">
        <w:rPr>
          <w:szCs w:val="24"/>
        </w:rPr>
        <w:t xml:space="preserve"> highlights</w:t>
      </w:r>
      <w:r w:rsidRPr="00E56C1E">
        <w:rPr>
          <w:szCs w:val="24"/>
        </w:rPr>
        <w:t xml:space="preserve"> </w:t>
      </w:r>
      <w:r w:rsidR="00385462">
        <w:rPr>
          <w:szCs w:val="24"/>
        </w:rPr>
        <w:t xml:space="preserve">how these computations allow for </w:t>
      </w:r>
      <w:r w:rsidRPr="00E56C1E">
        <w:rPr>
          <w:szCs w:val="24"/>
        </w:rPr>
        <w:t>the detection of such hotspots would not be made without such computations</w:t>
      </w:r>
      <w:r w:rsidR="00385462">
        <w:rPr>
          <w:szCs w:val="24"/>
        </w:rPr>
        <w:t xml:space="preserve">, suggesting </w:t>
      </w:r>
      <w:r w:rsidR="00385462" w:rsidRPr="00E56C1E">
        <w:rPr>
          <w:szCs w:val="24"/>
        </w:rPr>
        <w:t>that Predictive Policing is directly linked to its ability to use data to analyze hotspots</w:t>
      </w:r>
      <w:r w:rsidRPr="00E56C1E">
        <w:rPr>
          <w:szCs w:val="24"/>
        </w:rPr>
        <w:t>.</w:t>
      </w:r>
      <w:r w:rsidRPr="00E56C1E">
        <w:rPr>
          <w:rStyle w:val="NoterefInText"/>
        </w:rPr>
        <w:footnoteReference w:id="162"/>
      </w:r>
      <w:r w:rsidRPr="00E56C1E">
        <w:rPr>
          <w:szCs w:val="24"/>
        </w:rPr>
        <w:t>.</w:t>
      </w:r>
    </w:p>
    <w:p w14:paraId="68214A6C" w14:textId="25FDD707" w:rsidR="00E56C1E" w:rsidRPr="00E56C1E" w:rsidRDefault="00E56C1E" w:rsidP="00E56C1E">
      <w:pPr>
        <w:pStyle w:val="Document"/>
      </w:pPr>
      <w:r w:rsidRPr="00E56C1E">
        <w:rPr>
          <w:szCs w:val="24"/>
        </w:rPr>
        <w:t>Although the General Federal Court’s ruling did not completely ban AI technologies</w:t>
      </w:r>
      <w:r w:rsidR="00AD3BB8">
        <w:rPr>
          <w:szCs w:val="24"/>
        </w:rPr>
        <w:t xml:space="preserve"> in policing</w:t>
      </w:r>
      <w:r w:rsidRPr="00E56C1E">
        <w:rPr>
          <w:szCs w:val="24"/>
        </w:rPr>
        <w:t xml:space="preserve">, it will certainly impact how systems are integrated throughout the country. </w:t>
      </w:r>
      <w:r w:rsidR="00385462">
        <w:rPr>
          <w:szCs w:val="24"/>
        </w:rPr>
        <w:t xml:space="preserve"> </w:t>
      </w:r>
      <w:r w:rsidR="00AD3BB8">
        <w:rPr>
          <w:szCs w:val="24"/>
        </w:rPr>
        <w:t>I</w:t>
      </w:r>
      <w:r w:rsidRPr="00E56C1E">
        <w:rPr>
          <w:szCs w:val="24"/>
        </w:rPr>
        <w:t>n Hesse</w:t>
      </w:r>
      <w:r w:rsidR="00AD3BB8">
        <w:rPr>
          <w:szCs w:val="24"/>
        </w:rPr>
        <w:t>, police</w:t>
      </w:r>
      <w:r w:rsidRPr="00E56C1E">
        <w:rPr>
          <w:szCs w:val="24"/>
        </w:rPr>
        <w:t xml:space="preserve"> </w:t>
      </w:r>
      <w:r w:rsidR="00AD3BB8">
        <w:rPr>
          <w:szCs w:val="24"/>
        </w:rPr>
        <w:t>are</w:t>
      </w:r>
      <w:r w:rsidR="00AD3BB8" w:rsidRPr="00E56C1E">
        <w:rPr>
          <w:szCs w:val="24"/>
        </w:rPr>
        <w:t xml:space="preserve"> </w:t>
      </w:r>
      <w:r w:rsidRPr="00E56C1E">
        <w:rPr>
          <w:szCs w:val="24"/>
        </w:rPr>
        <w:t>permitted to continue using the software, but the court</w:t>
      </w:r>
      <w:r w:rsidR="0050307F">
        <w:rPr>
          <w:szCs w:val="24"/>
        </w:rPr>
        <w:t xml:space="preserve"> </w:t>
      </w:r>
      <w:r w:rsidRPr="00E56C1E">
        <w:rPr>
          <w:szCs w:val="24"/>
        </w:rPr>
        <w:t xml:space="preserve">mandated legislation </w:t>
      </w:r>
      <w:r w:rsidR="00AD3BB8">
        <w:rPr>
          <w:szCs w:val="24"/>
        </w:rPr>
        <w:t xml:space="preserve">must </w:t>
      </w:r>
      <w:r w:rsidRPr="00E56C1E">
        <w:rPr>
          <w:szCs w:val="24"/>
        </w:rPr>
        <w:t>write strict conditions for its use.</w:t>
      </w:r>
      <w:r w:rsidRPr="00E56C1E">
        <w:rPr>
          <w:rStyle w:val="NoterefInText"/>
        </w:rPr>
        <w:footnoteReference w:id="163"/>
      </w:r>
      <w:r w:rsidRPr="00E56C1E">
        <w:rPr>
          <w:szCs w:val="24"/>
        </w:rPr>
        <w:t xml:space="preserve"> Other states, such as Hamburg, are prohibited from even implementing such systems until comprehensive legal frameworks </w:t>
      </w:r>
      <w:r w:rsidR="00AD3BB8">
        <w:rPr>
          <w:szCs w:val="24"/>
        </w:rPr>
        <w:t>align with the court’s decision</w:t>
      </w:r>
      <w:r w:rsidRPr="00E56C1E">
        <w:rPr>
          <w:szCs w:val="24"/>
        </w:rPr>
        <w:t>.</w:t>
      </w:r>
      <w:r w:rsidRPr="00E56C1E">
        <w:rPr>
          <w:rStyle w:val="NoterefInText"/>
        </w:rPr>
        <w:footnoteReference w:id="164"/>
      </w:r>
      <w:r w:rsidRPr="00E56C1E">
        <w:rPr>
          <w:szCs w:val="24"/>
        </w:rPr>
        <w:t xml:space="preserve"> Since Germany is part of the EU, it will be interesting to see whether this ruling affects other countries.</w:t>
      </w:r>
    </w:p>
    <w:p w14:paraId="69DB46B7" w14:textId="77777777" w:rsidR="00E56C1E" w:rsidRPr="00E56C1E" w:rsidRDefault="00E56C1E" w:rsidP="00E56C1E">
      <w:pPr>
        <w:pStyle w:val="SubHead1"/>
      </w:pPr>
      <w:bookmarkStart w:id="16" w:name="_Toc190939250"/>
      <w:r>
        <w:t>I</w:t>
      </w:r>
      <w:r w:rsidRPr="00E56C1E">
        <w:t>V.</w:t>
      </w:r>
      <w:r>
        <w:tab/>
      </w:r>
      <w:r w:rsidRPr="00E56C1E">
        <w:t>Comparative Analysis of Policing Philosophies</w:t>
      </w:r>
      <w:bookmarkEnd w:id="16"/>
    </w:p>
    <w:p w14:paraId="188733EE" w14:textId="3DC8AE20" w:rsidR="00E56C1E" w:rsidRPr="00E56C1E" w:rsidRDefault="00E56C1E" w:rsidP="00E56C1E">
      <w:pPr>
        <w:pStyle w:val="Document"/>
      </w:pPr>
      <w:r w:rsidRPr="00E56C1E">
        <w:rPr>
          <w:szCs w:val="24"/>
        </w:rPr>
        <w:t xml:space="preserve">While this Note has made clear that AI technologies are increasingly being used as a predictive policing tool across the world, use </w:t>
      </w:r>
      <w:r w:rsidR="00385462">
        <w:rPr>
          <w:szCs w:val="24"/>
        </w:rPr>
        <w:t xml:space="preserve">in different countries </w:t>
      </w:r>
      <w:r w:rsidRPr="00E56C1E">
        <w:rPr>
          <w:szCs w:val="24"/>
        </w:rPr>
        <w:t xml:space="preserve">is subject to varying conditions. </w:t>
      </w:r>
      <w:r w:rsidR="00385462">
        <w:rPr>
          <w:szCs w:val="24"/>
        </w:rPr>
        <w:t xml:space="preserve"> </w:t>
      </w:r>
      <w:r w:rsidRPr="00E56C1E">
        <w:rPr>
          <w:szCs w:val="24"/>
        </w:rPr>
        <w:t xml:space="preserve">Each country that this Note examines has its </w:t>
      </w:r>
      <w:r w:rsidR="00385462">
        <w:rPr>
          <w:szCs w:val="24"/>
        </w:rPr>
        <w:t xml:space="preserve">own </w:t>
      </w:r>
      <w:r w:rsidRPr="00E56C1E">
        <w:rPr>
          <w:szCs w:val="24"/>
        </w:rPr>
        <w:t xml:space="preserve">ethical </w:t>
      </w:r>
      <w:r w:rsidR="0050307F" w:rsidRPr="00E56C1E">
        <w:rPr>
          <w:szCs w:val="24"/>
        </w:rPr>
        <w:t>flameworking</w:t>
      </w:r>
      <w:r w:rsidRPr="00E56C1E">
        <w:rPr>
          <w:szCs w:val="24"/>
        </w:rPr>
        <w:t xml:space="preserve"> assessing its use of predictive </w:t>
      </w:r>
      <w:r w:rsidRPr="00E56C1E">
        <w:rPr>
          <w:szCs w:val="24"/>
        </w:rPr>
        <w:lastRenderedPageBreak/>
        <w:t xml:space="preserve">policing algorithms. </w:t>
      </w:r>
      <w:r w:rsidR="00385462">
        <w:rPr>
          <w:szCs w:val="24"/>
        </w:rPr>
        <w:t xml:space="preserve"> For example, </w:t>
      </w:r>
      <w:r w:rsidR="0050307F">
        <w:rPr>
          <w:szCs w:val="24"/>
        </w:rPr>
        <w:t>i</w:t>
      </w:r>
      <w:r w:rsidR="0050307F" w:rsidRPr="00E56C1E">
        <w:rPr>
          <w:szCs w:val="24"/>
        </w:rPr>
        <w:t>n</w:t>
      </w:r>
      <w:r w:rsidRPr="00E56C1E">
        <w:rPr>
          <w:szCs w:val="24"/>
        </w:rPr>
        <w:t xml:space="preserve"> India, </w:t>
      </w:r>
      <w:r w:rsidR="00385462">
        <w:rPr>
          <w:szCs w:val="24"/>
        </w:rPr>
        <w:t>a country</w:t>
      </w:r>
      <w:r w:rsidRPr="00E56C1E">
        <w:rPr>
          <w:szCs w:val="24"/>
        </w:rPr>
        <w:t xml:space="preserve"> which lacks robust privacy laws, ethical concerns are present, such as in situations where the algorithm incorrectly identifies someone and threatens serious consequences, such as a false arrest.</w:t>
      </w:r>
      <w:r w:rsidRPr="00E56C1E">
        <w:rPr>
          <w:rStyle w:val="NoterefInText"/>
        </w:rPr>
        <w:footnoteReference w:id="165"/>
      </w:r>
      <w:r w:rsidRPr="00E56C1E">
        <w:rPr>
          <w:szCs w:val="24"/>
        </w:rPr>
        <w:t xml:space="preserve"> </w:t>
      </w:r>
      <w:r w:rsidR="00385462">
        <w:rPr>
          <w:szCs w:val="24"/>
        </w:rPr>
        <w:t xml:space="preserve"> </w:t>
      </w:r>
      <w:r w:rsidRPr="00E56C1E">
        <w:rPr>
          <w:szCs w:val="24"/>
        </w:rPr>
        <w:t>The concern present here is whether there is anyone to blame. The existence of legal frameworks, however, noticeably varies across each country.</w:t>
      </w:r>
    </w:p>
    <w:p w14:paraId="028D15B6" w14:textId="5B7A896C" w:rsidR="00E56C1E" w:rsidRPr="00E56C1E" w:rsidRDefault="00E56C1E" w:rsidP="00E56C1E">
      <w:pPr>
        <w:pStyle w:val="Document"/>
      </w:pPr>
      <w:r w:rsidRPr="00E56C1E">
        <w:rPr>
          <w:szCs w:val="24"/>
        </w:rPr>
        <w:t xml:space="preserve">Without robust legal frameworks, this Note has analyzed each country’s ethical considerations against the traditional theories of policing that have existed in the country. </w:t>
      </w:r>
      <w:r w:rsidR="00385462">
        <w:rPr>
          <w:szCs w:val="24"/>
        </w:rPr>
        <w:t xml:space="preserve"> </w:t>
      </w:r>
      <w:r w:rsidRPr="00E56C1E">
        <w:rPr>
          <w:szCs w:val="24"/>
        </w:rPr>
        <w:t>In the United States, predictive policing algorithms encourage collaboration between civilians and the police</w:t>
      </w:r>
      <w:r w:rsidR="00385462">
        <w:rPr>
          <w:szCs w:val="24"/>
        </w:rPr>
        <w:t>,</w:t>
      </w:r>
      <w:r w:rsidRPr="00E56C1E">
        <w:rPr>
          <w:szCs w:val="24"/>
        </w:rPr>
        <w:t xml:space="preserve"> while </w:t>
      </w:r>
      <w:r w:rsidR="00E72B7E" w:rsidRPr="00E56C1E">
        <w:rPr>
          <w:szCs w:val="24"/>
        </w:rPr>
        <w:t>minimizing higher</w:t>
      </w:r>
      <w:r w:rsidRPr="00E56C1E">
        <w:rPr>
          <w:szCs w:val="24"/>
        </w:rPr>
        <w:t xml:space="preserve"> rates of violence that exist in comparison with other countries.  In China, the integration of AI in predictive policing reinforces the country’s surveillance tactics with little regard for privacy. </w:t>
      </w:r>
      <w:r w:rsidR="00385462">
        <w:rPr>
          <w:szCs w:val="24"/>
        </w:rPr>
        <w:t xml:space="preserve"> </w:t>
      </w:r>
      <w:r w:rsidRPr="00E56C1E">
        <w:rPr>
          <w:szCs w:val="24"/>
        </w:rPr>
        <w:t>In India, ethical concerns are balanced with its need to combat widespread crime and a high population rate.</w:t>
      </w:r>
    </w:p>
    <w:p w14:paraId="4A6CE45E" w14:textId="0BAF148C" w:rsidR="00E56C1E" w:rsidRPr="00E56C1E" w:rsidRDefault="00E56C1E" w:rsidP="00E56C1E">
      <w:pPr>
        <w:pStyle w:val="Document"/>
      </w:pPr>
      <w:r w:rsidRPr="00E56C1E">
        <w:rPr>
          <w:szCs w:val="24"/>
        </w:rPr>
        <w:t>In contrast, this Note finds that the EU has taken the most proactive stance on balancing its needs to combat crime with values of transparency.</w:t>
      </w:r>
      <w:r w:rsidRPr="00E56C1E">
        <w:rPr>
          <w:rStyle w:val="NoterefInText"/>
        </w:rPr>
        <w:footnoteReference w:id="166"/>
      </w:r>
      <w:r w:rsidRPr="00E56C1E">
        <w:rPr>
          <w:szCs w:val="24"/>
        </w:rPr>
        <w:t xml:space="preserve"> As aforementioned, the AI Act includes the prohibition of certain AI practices deemed “high-risk,” such as real-time remote biometric identification systems in publicly accessible spaces for law enforcement purposes.</w:t>
      </w:r>
      <w:r w:rsidRPr="00E56C1E">
        <w:rPr>
          <w:rStyle w:val="NoterefInText"/>
        </w:rPr>
        <w:footnoteReference w:id="167"/>
      </w:r>
      <w:r w:rsidRPr="00E56C1E">
        <w:rPr>
          <w:szCs w:val="24"/>
        </w:rPr>
        <w:t xml:space="preserve"> </w:t>
      </w:r>
      <w:r w:rsidR="00385462">
        <w:rPr>
          <w:szCs w:val="24"/>
        </w:rPr>
        <w:t xml:space="preserve"> </w:t>
      </w:r>
      <w:r w:rsidRPr="00E56C1E">
        <w:rPr>
          <w:szCs w:val="24"/>
        </w:rPr>
        <w:t xml:space="preserve">The strict requirements for high-risk AI systems highlight the proactive nature of </w:t>
      </w:r>
      <w:proofErr w:type="spellStart"/>
      <w:r w:rsidRPr="00E56C1E">
        <w:rPr>
          <w:szCs w:val="24"/>
        </w:rPr>
        <w:t>th</w:t>
      </w:r>
      <w:r w:rsidR="00385462">
        <w:rPr>
          <w:szCs w:val="24"/>
        </w:rPr>
        <w:t>eAI</w:t>
      </w:r>
      <w:proofErr w:type="spellEnd"/>
      <w:r w:rsidRPr="00E56C1E">
        <w:rPr>
          <w:szCs w:val="24"/>
        </w:rPr>
        <w:t xml:space="preserve"> Act, which includes thorough testing, documentation, and human oversight.</w:t>
      </w:r>
      <w:r w:rsidRPr="00E56C1E">
        <w:rPr>
          <w:rStyle w:val="NoterefInText"/>
        </w:rPr>
        <w:footnoteReference w:id="168"/>
      </w:r>
      <w:r w:rsidRPr="00E56C1E">
        <w:rPr>
          <w:szCs w:val="24"/>
        </w:rPr>
        <w:t xml:space="preserve"> </w:t>
      </w:r>
      <w:r w:rsidR="00385462">
        <w:rPr>
          <w:szCs w:val="24"/>
        </w:rPr>
        <w:t xml:space="preserve"> </w:t>
      </w:r>
      <w:r w:rsidRPr="00E56C1E">
        <w:rPr>
          <w:szCs w:val="24"/>
        </w:rPr>
        <w:t xml:space="preserve">The </w:t>
      </w:r>
      <w:r w:rsidR="00385462">
        <w:rPr>
          <w:szCs w:val="24"/>
        </w:rPr>
        <w:t>AI</w:t>
      </w:r>
      <w:r w:rsidRPr="00E56C1E">
        <w:rPr>
          <w:szCs w:val="24"/>
        </w:rPr>
        <w:t xml:space="preserve"> Act’s emphasis on transparency, accountability, and protection of fundamental rights suggests the EU’s awareness of the risks imposed by AI as it continues to be implemented into law enforcement. Additionally, the EU regulates all data, </w:t>
      </w:r>
      <w:r w:rsidR="00385462">
        <w:rPr>
          <w:szCs w:val="24"/>
        </w:rPr>
        <w:t xml:space="preserve">unlike </w:t>
      </w:r>
      <w:r w:rsidRPr="00E56C1E">
        <w:rPr>
          <w:szCs w:val="24"/>
        </w:rPr>
        <w:t>the United States’ sectoral privacy regulation system.</w:t>
      </w:r>
      <w:r w:rsidRPr="00E56C1E">
        <w:rPr>
          <w:rStyle w:val="NoterefInText"/>
        </w:rPr>
        <w:footnoteReference w:id="169"/>
      </w:r>
      <w:r w:rsidRPr="00E56C1E">
        <w:rPr>
          <w:szCs w:val="24"/>
        </w:rPr>
        <w:t xml:space="preserve">  </w:t>
      </w:r>
      <w:r w:rsidR="00385462">
        <w:rPr>
          <w:szCs w:val="24"/>
        </w:rPr>
        <w:t xml:space="preserve"> </w:t>
      </w:r>
      <w:r w:rsidRPr="00E56C1E">
        <w:rPr>
          <w:szCs w:val="24"/>
        </w:rPr>
        <w:t xml:space="preserve">Even more, the GDPR sets forth four strict rules for data processing: </w:t>
      </w:r>
      <w:r w:rsidR="00385462">
        <w:rPr>
          <w:szCs w:val="24"/>
        </w:rPr>
        <w:t xml:space="preserve">1) </w:t>
      </w:r>
      <w:r w:rsidRPr="00E56C1E">
        <w:rPr>
          <w:szCs w:val="24"/>
        </w:rPr>
        <w:t xml:space="preserve">controllers and processors must adhere to the FIPs; </w:t>
      </w:r>
      <w:r w:rsidR="00385462">
        <w:rPr>
          <w:szCs w:val="24"/>
        </w:rPr>
        <w:t xml:space="preserve">2) </w:t>
      </w:r>
      <w:r w:rsidRPr="00E56C1E">
        <w:rPr>
          <w:szCs w:val="24"/>
        </w:rPr>
        <w:t xml:space="preserve">the controller must have a legitimate ground for processing personal data; </w:t>
      </w:r>
      <w:r w:rsidR="00385462">
        <w:rPr>
          <w:szCs w:val="24"/>
        </w:rPr>
        <w:t xml:space="preserve">3) </w:t>
      </w:r>
      <w:r w:rsidRPr="00E56C1E">
        <w:rPr>
          <w:szCs w:val="24"/>
        </w:rPr>
        <w:t xml:space="preserve">the controller must have grounds for using </w:t>
      </w:r>
      <w:r w:rsidR="00385462">
        <w:rPr>
          <w:szCs w:val="24"/>
        </w:rPr>
        <w:t>“</w:t>
      </w:r>
      <w:r w:rsidRPr="00E56C1E">
        <w:rPr>
          <w:szCs w:val="24"/>
        </w:rPr>
        <w:t>sensitive data</w:t>
      </w:r>
      <w:r w:rsidR="00385462">
        <w:rPr>
          <w:szCs w:val="24"/>
        </w:rPr>
        <w:t>”</w:t>
      </w:r>
      <w:r w:rsidRPr="00E56C1E">
        <w:rPr>
          <w:szCs w:val="24"/>
        </w:rPr>
        <w:t xml:space="preserve">, </w:t>
      </w:r>
      <w:r w:rsidR="00385462">
        <w:rPr>
          <w:szCs w:val="24"/>
        </w:rPr>
        <w:t>(</w:t>
      </w:r>
      <w:r w:rsidRPr="00E56C1E">
        <w:rPr>
          <w:szCs w:val="24"/>
        </w:rPr>
        <w:t>broadly defined under the GDPR</w:t>
      </w:r>
      <w:r w:rsidR="00385462">
        <w:rPr>
          <w:szCs w:val="24"/>
        </w:rPr>
        <w:t>)</w:t>
      </w:r>
      <w:r w:rsidRPr="00E56C1E">
        <w:rPr>
          <w:szCs w:val="24"/>
        </w:rPr>
        <w:t xml:space="preserve">; and </w:t>
      </w:r>
      <w:r w:rsidR="00385462">
        <w:rPr>
          <w:szCs w:val="24"/>
        </w:rPr>
        <w:t>4)</w:t>
      </w:r>
      <w:r w:rsidRPr="00E56C1E">
        <w:rPr>
          <w:szCs w:val="24"/>
        </w:rPr>
        <w:t xml:space="preserve"> the control must have a lawful mechanism for moving data outside of the EU.</w:t>
      </w:r>
      <w:r w:rsidRPr="00E56C1E">
        <w:rPr>
          <w:rStyle w:val="NoterefInText"/>
        </w:rPr>
        <w:footnoteReference w:id="170"/>
      </w:r>
      <w:r w:rsidRPr="00E56C1E">
        <w:rPr>
          <w:szCs w:val="24"/>
        </w:rPr>
        <w:t xml:space="preserve"> Law enforcement in the EU must consider transparency in setting forth predictive policing tactics</w:t>
      </w:r>
      <w:r w:rsidR="00385462">
        <w:rPr>
          <w:szCs w:val="24"/>
        </w:rPr>
        <w:t>, and</w:t>
      </w:r>
      <w:r w:rsidRPr="00E56C1E">
        <w:rPr>
          <w:szCs w:val="24"/>
        </w:rPr>
        <w:t xml:space="preserve"> </w:t>
      </w:r>
      <w:r w:rsidR="00385462">
        <w:rPr>
          <w:szCs w:val="24"/>
        </w:rPr>
        <w:t>also</w:t>
      </w:r>
      <w:r w:rsidRPr="00E56C1E">
        <w:rPr>
          <w:szCs w:val="24"/>
        </w:rPr>
        <w:t xml:space="preserve"> abide by the very specific laws of the GDPR.</w:t>
      </w:r>
    </w:p>
    <w:p w14:paraId="787A6667" w14:textId="030A8174" w:rsidR="00E56C1E" w:rsidRPr="00E56C1E" w:rsidRDefault="00E56C1E" w:rsidP="00E56C1E">
      <w:pPr>
        <w:pStyle w:val="Document"/>
      </w:pPr>
      <w:r w:rsidRPr="00E56C1E">
        <w:rPr>
          <w:szCs w:val="24"/>
        </w:rPr>
        <w:t>Importantly, The EU AI Act establishes the first comprehensive legal framework pertaining specifically to AI regulation worldwide.</w:t>
      </w:r>
      <w:r w:rsidRPr="00E56C1E">
        <w:rPr>
          <w:rStyle w:val="NoterefInText"/>
        </w:rPr>
        <w:footnoteReference w:id="171"/>
      </w:r>
      <w:r w:rsidRPr="00E56C1E">
        <w:rPr>
          <w:szCs w:val="24"/>
        </w:rPr>
        <w:t xml:space="preserve"> </w:t>
      </w:r>
      <w:r w:rsidR="00385462">
        <w:rPr>
          <w:szCs w:val="24"/>
        </w:rPr>
        <w:t xml:space="preserve"> </w:t>
      </w:r>
      <w:r w:rsidRPr="00E56C1E">
        <w:rPr>
          <w:szCs w:val="24"/>
        </w:rPr>
        <w:t xml:space="preserve">For AI </w:t>
      </w:r>
      <w:r w:rsidRPr="00E56C1E">
        <w:rPr>
          <w:szCs w:val="24"/>
        </w:rPr>
        <w:lastRenderedPageBreak/>
        <w:t xml:space="preserve">systems to be permitted, the </w:t>
      </w:r>
      <w:r w:rsidR="00385462">
        <w:rPr>
          <w:szCs w:val="24"/>
        </w:rPr>
        <w:t xml:space="preserve">EU </w:t>
      </w:r>
      <w:r w:rsidRPr="00E56C1E">
        <w:rPr>
          <w:szCs w:val="24"/>
        </w:rPr>
        <w:t>Act, similarly to the GDPR, imposes rules regarding notice and transparency</w:t>
      </w:r>
      <w:r w:rsidR="00385462">
        <w:rPr>
          <w:szCs w:val="24"/>
        </w:rPr>
        <w:t>.  Provisions of the EU AI Act</w:t>
      </w:r>
      <w:r w:rsidRPr="00E56C1E">
        <w:rPr>
          <w:szCs w:val="24"/>
        </w:rPr>
        <w:t xml:space="preserve"> </w:t>
      </w:r>
      <w:r w:rsidR="00385462" w:rsidRPr="00E56C1E">
        <w:rPr>
          <w:szCs w:val="24"/>
        </w:rPr>
        <w:t>includ</w:t>
      </w:r>
      <w:r w:rsidR="00385462">
        <w:rPr>
          <w:szCs w:val="24"/>
        </w:rPr>
        <w:t>e</w:t>
      </w:r>
      <w:r w:rsidRPr="00E56C1E">
        <w:rPr>
          <w:szCs w:val="24"/>
        </w:rPr>
        <w:t xml:space="preserve"> registration in an EU database, mandating ‘fundamental rights impact assessments’ before its use in law </w:t>
      </w:r>
      <w:proofErr w:type="gramStart"/>
      <w:r w:rsidRPr="00E56C1E">
        <w:rPr>
          <w:szCs w:val="24"/>
        </w:rPr>
        <w:t>enforcement, and</w:t>
      </w:r>
      <w:proofErr w:type="gramEnd"/>
      <w:r w:rsidRPr="00E56C1E">
        <w:rPr>
          <w:szCs w:val="24"/>
        </w:rPr>
        <w:t xml:space="preserve"> making </w:t>
      </w:r>
      <w:r w:rsidR="00385462">
        <w:rPr>
          <w:szCs w:val="24"/>
        </w:rPr>
        <w:t xml:space="preserve">explicit </w:t>
      </w:r>
      <w:r w:rsidRPr="00E56C1E">
        <w:rPr>
          <w:szCs w:val="24"/>
        </w:rPr>
        <w:t>efforts to increase transparency regarding the use of high-risk systems.</w:t>
      </w:r>
      <w:r w:rsidRPr="00E56C1E">
        <w:rPr>
          <w:rStyle w:val="NoterefInText"/>
        </w:rPr>
        <w:footnoteReference w:id="172"/>
      </w:r>
      <w:r w:rsidRPr="00E56C1E">
        <w:rPr>
          <w:szCs w:val="24"/>
        </w:rPr>
        <w:t xml:space="preserve"> These rules encourage those using AI as a predictive policing tool to monitor its potential discriminatory impacts. </w:t>
      </w:r>
      <w:r w:rsidR="00385462">
        <w:rPr>
          <w:szCs w:val="24"/>
        </w:rPr>
        <w:t xml:space="preserve"> </w:t>
      </w:r>
      <w:r w:rsidRPr="00E56C1E">
        <w:rPr>
          <w:szCs w:val="24"/>
        </w:rPr>
        <w:t xml:space="preserve">China, on the other hand, exerts strong governmental control of AI technologies used in predictive policing and surveillance. </w:t>
      </w:r>
      <w:r w:rsidR="00385462">
        <w:rPr>
          <w:szCs w:val="24"/>
        </w:rPr>
        <w:t xml:space="preserve"> </w:t>
      </w:r>
      <w:r w:rsidRPr="00E56C1E">
        <w:rPr>
          <w:szCs w:val="24"/>
        </w:rPr>
        <w:t>This is reflected in its centralized approach to AI regulation through the Cyberspace Administration of China (CAC) acts as the de facto enforcer of AI regulations.</w:t>
      </w:r>
      <w:r w:rsidRPr="00E56C1E">
        <w:rPr>
          <w:rStyle w:val="NoterefInText"/>
        </w:rPr>
        <w:footnoteReference w:id="173"/>
      </w:r>
      <w:r w:rsidRPr="00E56C1E">
        <w:rPr>
          <w:szCs w:val="24"/>
        </w:rPr>
        <w:t xml:space="preserve"> Comparing the EU with the other countries in this Note suggests how advanced its countries will be in the regulation of AI in the coming years.</w:t>
      </w:r>
    </w:p>
    <w:p w14:paraId="27F6F3D1" w14:textId="7791BA0C" w:rsidR="00E56C1E" w:rsidRPr="00E56C1E" w:rsidRDefault="00E56C1E" w:rsidP="00E56C1E">
      <w:pPr>
        <w:pStyle w:val="Document"/>
      </w:pPr>
      <w:r w:rsidRPr="00E56C1E">
        <w:rPr>
          <w:szCs w:val="24"/>
        </w:rPr>
        <w:t xml:space="preserve">It should be noted that there has been some international collaboration to address policy issues regarding predictive policing algorithms. </w:t>
      </w:r>
      <w:r w:rsidR="00385462">
        <w:rPr>
          <w:szCs w:val="24"/>
        </w:rPr>
        <w:t xml:space="preserve"> </w:t>
      </w:r>
      <w:r w:rsidRPr="00E56C1E">
        <w:rPr>
          <w:szCs w:val="24"/>
        </w:rPr>
        <w:t>INTERPOL and the United Nations Interregional Crime and Justice Research Institute (UNICRI) have released a “Toolkit for Responsible AI Innovation in Law Enforcement.”</w:t>
      </w:r>
      <w:r w:rsidRPr="00E56C1E">
        <w:rPr>
          <w:rStyle w:val="NoterefInText"/>
        </w:rPr>
        <w:footnoteReference w:id="174"/>
      </w:r>
      <w:r w:rsidRPr="00E56C1E">
        <w:rPr>
          <w:szCs w:val="24"/>
        </w:rPr>
        <w:t xml:space="preserve"> </w:t>
      </w:r>
      <w:r w:rsidR="00385462">
        <w:rPr>
          <w:szCs w:val="24"/>
        </w:rPr>
        <w:t xml:space="preserve"> </w:t>
      </w:r>
      <w:r w:rsidRPr="00E56C1E">
        <w:rPr>
          <w:szCs w:val="24"/>
        </w:rPr>
        <w:t>This toolkit provides resources for AI risks</w:t>
      </w:r>
      <w:r w:rsidR="00385462">
        <w:rPr>
          <w:szCs w:val="24"/>
        </w:rPr>
        <w:t xml:space="preserve">, and </w:t>
      </w:r>
      <w:r w:rsidRPr="00E56C1E">
        <w:rPr>
          <w:szCs w:val="24"/>
        </w:rPr>
        <w:t xml:space="preserve">  guidance on using AI in law enforcement, while also respecting human rights.</w:t>
      </w:r>
      <w:r w:rsidRPr="00E56C1E">
        <w:rPr>
          <w:rStyle w:val="NoterefInText"/>
        </w:rPr>
        <w:footnoteReference w:id="175"/>
      </w:r>
      <w:r w:rsidRPr="00E56C1E">
        <w:rPr>
          <w:szCs w:val="24"/>
        </w:rPr>
        <w:t xml:space="preserve"> </w:t>
      </w:r>
      <w:r w:rsidR="00385462">
        <w:rPr>
          <w:szCs w:val="24"/>
        </w:rPr>
        <w:t xml:space="preserve"> Although </w:t>
      </w:r>
      <w:r w:rsidRPr="00E56C1E">
        <w:rPr>
          <w:szCs w:val="24"/>
        </w:rPr>
        <w:t xml:space="preserve">collaboration is a positive step forward, countries will likely develop their own laws and policies instead of </w:t>
      </w:r>
      <w:r w:rsidR="00385462">
        <w:rPr>
          <w:szCs w:val="24"/>
        </w:rPr>
        <w:t xml:space="preserve">adhering to a uniform </w:t>
      </w:r>
      <w:r w:rsidRPr="00E56C1E">
        <w:rPr>
          <w:szCs w:val="24"/>
        </w:rPr>
        <w:t>international law.</w:t>
      </w:r>
    </w:p>
    <w:p w14:paraId="453F726D" w14:textId="77777777" w:rsidR="00E56C1E" w:rsidRPr="00E56C1E" w:rsidRDefault="00E56C1E" w:rsidP="00E56C1E">
      <w:pPr>
        <w:pStyle w:val="SubHead1"/>
      </w:pPr>
      <w:bookmarkStart w:id="17" w:name="_Toc190939251"/>
      <w:r w:rsidRPr="00E56C1E">
        <w:t>V. The Future of AI in Predictive Policing</w:t>
      </w:r>
      <w:bookmarkEnd w:id="17"/>
    </w:p>
    <w:p w14:paraId="0D2C1BA1" w14:textId="58AD9A15" w:rsidR="00E56C1E" w:rsidRPr="00E56C1E" w:rsidRDefault="00E56C1E" w:rsidP="00E56C1E">
      <w:pPr>
        <w:pStyle w:val="Document"/>
      </w:pPr>
      <w:r w:rsidRPr="00E56C1E">
        <w:rPr>
          <w:szCs w:val="24"/>
        </w:rPr>
        <w:t>As predictive policing uses a data-driven approach to identify criminal patterns in specific locations, AI will be essential to the future success of these systems to identify and combat areas of high crime.</w:t>
      </w:r>
      <w:r w:rsidRPr="00E56C1E">
        <w:rPr>
          <w:rStyle w:val="NoterefInText"/>
        </w:rPr>
        <w:footnoteReference w:id="176"/>
      </w:r>
      <w:r w:rsidRPr="00E56C1E">
        <w:rPr>
          <w:szCs w:val="24"/>
        </w:rPr>
        <w:t xml:space="preserve"> </w:t>
      </w:r>
      <w:r w:rsidR="00385462">
        <w:rPr>
          <w:szCs w:val="24"/>
        </w:rPr>
        <w:t xml:space="preserve"> </w:t>
      </w:r>
      <w:r w:rsidRPr="00E56C1E">
        <w:rPr>
          <w:szCs w:val="24"/>
        </w:rPr>
        <w:t xml:space="preserve">The EU demonstrates that it is possible to effectuate legal frameworks and policies around privacy to encourage the ethical use of AI. Moreover, predictive policing can improve the allocation of resources when attempting to lower crime risks because this </w:t>
      </w:r>
      <w:r w:rsidR="00385462">
        <w:rPr>
          <w:szCs w:val="24"/>
        </w:rPr>
        <w:t xml:space="preserve">aggregated </w:t>
      </w:r>
      <w:r w:rsidRPr="00E56C1E">
        <w:rPr>
          <w:szCs w:val="24"/>
        </w:rPr>
        <w:t>data can impute where years’ worth of crime may be studied.</w:t>
      </w:r>
      <w:r w:rsidRPr="00E56C1E">
        <w:rPr>
          <w:rStyle w:val="NoterefInText"/>
        </w:rPr>
        <w:footnoteReference w:id="177"/>
      </w:r>
      <w:r w:rsidRPr="00E56C1E">
        <w:rPr>
          <w:szCs w:val="24"/>
        </w:rPr>
        <w:t xml:space="preserve"> Thus, as AI is further incorporated into policing throughout the world, the EU’s existing laws might serve as a model for other countries to take steps forward in protecting their citizens.</w:t>
      </w:r>
    </w:p>
    <w:p w14:paraId="36140B3D" w14:textId="0C99D06D" w:rsidR="00E56C1E" w:rsidRPr="00E56C1E" w:rsidRDefault="00E56C1E" w:rsidP="00E56C1E">
      <w:pPr>
        <w:pStyle w:val="Document"/>
      </w:pPr>
      <w:r w:rsidRPr="00E56C1E">
        <w:rPr>
          <w:szCs w:val="24"/>
        </w:rPr>
        <w:t xml:space="preserve">Although there are many ethical concerns about the future use of algorithms, the reality is that AI is not going anywhere. </w:t>
      </w:r>
      <w:r w:rsidR="00385462">
        <w:rPr>
          <w:szCs w:val="24"/>
        </w:rPr>
        <w:t xml:space="preserve"> </w:t>
      </w:r>
      <w:r w:rsidRPr="00E56C1E">
        <w:rPr>
          <w:szCs w:val="24"/>
        </w:rPr>
        <w:t>Law enforcement should rather integrate AI</w:t>
      </w:r>
      <w:r w:rsidR="00385462">
        <w:rPr>
          <w:szCs w:val="24"/>
        </w:rPr>
        <w:t>,</w:t>
      </w:r>
      <w:r w:rsidRPr="00E56C1E">
        <w:rPr>
          <w:szCs w:val="24"/>
        </w:rPr>
        <w:t xml:space="preserve"> keeping in mind the concerns that have been </w:t>
      </w:r>
      <w:r w:rsidRPr="00E56C1E">
        <w:rPr>
          <w:szCs w:val="24"/>
        </w:rPr>
        <w:lastRenderedPageBreak/>
        <w:t>outlined throughout this Note</w:t>
      </w:r>
      <w:r w:rsidR="00385462">
        <w:rPr>
          <w:szCs w:val="24"/>
        </w:rPr>
        <w:t>.</w:t>
      </w:r>
      <w:r w:rsidRPr="00E56C1E">
        <w:rPr>
          <w:szCs w:val="24"/>
        </w:rPr>
        <w:t xml:space="preserve"> </w:t>
      </w:r>
      <w:r w:rsidR="00385462">
        <w:rPr>
          <w:szCs w:val="24"/>
        </w:rPr>
        <w:t>In addition,</w:t>
      </w:r>
      <w:r w:rsidRPr="00E56C1E">
        <w:rPr>
          <w:szCs w:val="24"/>
        </w:rPr>
        <w:t xml:space="preserve"> police officers should educate themselves on both the benefits and concerns about AI. </w:t>
      </w:r>
      <w:r w:rsidR="00385462">
        <w:rPr>
          <w:szCs w:val="24"/>
        </w:rPr>
        <w:t xml:space="preserve"> </w:t>
      </w:r>
      <w:r w:rsidRPr="00E56C1E">
        <w:rPr>
          <w:szCs w:val="24"/>
        </w:rPr>
        <w:t xml:space="preserve">Shapiro suggests that </w:t>
      </w:r>
      <w:r w:rsidR="00385462">
        <w:rPr>
          <w:szCs w:val="24"/>
        </w:rPr>
        <w:t>law enforcement’s transparency about the uses and benefits of AI in predictive policing, and acknowledgement of ethical concerns will improve the public’s perception about the practice.</w:t>
      </w:r>
      <w:r w:rsidRPr="00E56C1E">
        <w:rPr>
          <w:rStyle w:val="NoterefInText"/>
        </w:rPr>
        <w:footnoteReference w:id="178"/>
      </w:r>
      <w:r w:rsidRPr="00E56C1E">
        <w:rPr>
          <w:szCs w:val="24"/>
        </w:rPr>
        <w:t xml:space="preserve"> By informing the public of what data is being used and how it is being tracked, law enforcement may be able to prevent some misconceptions about predictive policing algorithms.</w:t>
      </w:r>
      <w:r w:rsidRPr="00E56C1E">
        <w:rPr>
          <w:rStyle w:val="NoterefInText"/>
        </w:rPr>
        <w:footnoteReference w:id="179"/>
      </w:r>
      <w:r w:rsidRPr="00E56C1E">
        <w:rPr>
          <w:szCs w:val="24"/>
        </w:rPr>
        <w:t xml:space="preserve"> Similarly, Mugari and Obioha suggest that police agencies adopt an Independent Review Board that </w:t>
      </w:r>
      <w:r w:rsidR="00385462" w:rsidRPr="00E56C1E">
        <w:rPr>
          <w:szCs w:val="24"/>
        </w:rPr>
        <w:t>assess</w:t>
      </w:r>
      <w:r w:rsidR="00385462">
        <w:rPr>
          <w:szCs w:val="24"/>
        </w:rPr>
        <w:t>es</w:t>
      </w:r>
      <w:r w:rsidR="00385462" w:rsidRPr="00E56C1E">
        <w:rPr>
          <w:szCs w:val="24"/>
        </w:rPr>
        <w:t xml:space="preserve"> </w:t>
      </w:r>
      <w:r w:rsidRPr="00E56C1E">
        <w:rPr>
          <w:szCs w:val="24"/>
        </w:rPr>
        <w:t xml:space="preserve">the </w:t>
      </w:r>
      <w:r w:rsidR="00385462">
        <w:rPr>
          <w:szCs w:val="24"/>
        </w:rPr>
        <w:t>implemented</w:t>
      </w:r>
      <w:r w:rsidRPr="00E56C1E">
        <w:rPr>
          <w:szCs w:val="24"/>
        </w:rPr>
        <w:t xml:space="preserve"> policing.</w:t>
      </w:r>
      <w:r w:rsidRPr="00E56C1E">
        <w:rPr>
          <w:rStyle w:val="NoterefInText"/>
        </w:rPr>
        <w:footnoteReference w:id="180"/>
      </w:r>
      <w:r w:rsidRPr="00E56C1E">
        <w:rPr>
          <w:szCs w:val="24"/>
        </w:rPr>
        <w:t xml:space="preserve"> They suggest that such review boards are not limited to overseeing predictive policing activities, but the use of AI in all policing.</w:t>
      </w:r>
      <w:r w:rsidRPr="00E56C1E">
        <w:rPr>
          <w:rStyle w:val="NoterefInText"/>
        </w:rPr>
        <w:footnoteReference w:id="181"/>
      </w:r>
      <w:r w:rsidRPr="00E56C1E">
        <w:rPr>
          <w:szCs w:val="24"/>
        </w:rPr>
        <w:t xml:space="preserve"> These concerns will not completely elimi</w:t>
      </w:r>
      <w:r w:rsidR="00385462">
        <w:rPr>
          <w:szCs w:val="24"/>
        </w:rPr>
        <w:t>n</w:t>
      </w:r>
      <w:r w:rsidRPr="00E56C1E">
        <w:rPr>
          <w:szCs w:val="24"/>
        </w:rPr>
        <w:t xml:space="preserve">ate ethical concerns, but may be considered a first step in finding a balance between reducing crime and </w:t>
      </w:r>
      <w:r w:rsidR="00385462">
        <w:rPr>
          <w:szCs w:val="24"/>
        </w:rPr>
        <w:t xml:space="preserve">honoring </w:t>
      </w:r>
      <w:r w:rsidRPr="00E56C1E">
        <w:rPr>
          <w:szCs w:val="24"/>
        </w:rPr>
        <w:t>individual rights.</w:t>
      </w:r>
    </w:p>
    <w:p w14:paraId="0D53C7DA" w14:textId="044A2D26" w:rsidR="00E56C1E" w:rsidRPr="00E56C1E" w:rsidRDefault="00E56C1E" w:rsidP="00E56C1E">
      <w:pPr>
        <w:pStyle w:val="Document"/>
      </w:pPr>
      <w:proofErr w:type="gramStart"/>
      <w:r w:rsidRPr="00E56C1E">
        <w:rPr>
          <w:szCs w:val="24"/>
        </w:rPr>
        <w:t>Similar to</w:t>
      </w:r>
      <w:proofErr w:type="gramEnd"/>
      <w:r w:rsidRPr="00E56C1E">
        <w:rPr>
          <w:szCs w:val="24"/>
        </w:rPr>
        <w:t xml:space="preserve"> the issue of transparency, law enforcement agencies must address the nature of errors that exist in AI systems. </w:t>
      </w:r>
      <w:r w:rsidR="00385462">
        <w:rPr>
          <w:szCs w:val="24"/>
        </w:rPr>
        <w:t>I</w:t>
      </w:r>
      <w:r w:rsidRPr="00E56C1E">
        <w:rPr>
          <w:szCs w:val="24"/>
        </w:rPr>
        <w:t>naccurate or “dirty” data</w:t>
      </w:r>
      <w:r w:rsidR="00385462">
        <w:rPr>
          <w:szCs w:val="24"/>
        </w:rPr>
        <w:t xml:space="preserve"> results in errors in predictive policing systems</w:t>
      </w:r>
      <w:r w:rsidRPr="00E56C1E">
        <w:rPr>
          <w:szCs w:val="24"/>
        </w:rPr>
        <w:t>.</w:t>
      </w:r>
      <w:r w:rsidRPr="00E56C1E">
        <w:rPr>
          <w:rStyle w:val="NoterefInText"/>
        </w:rPr>
        <w:footnoteReference w:id="182"/>
      </w:r>
      <w:r w:rsidRPr="00E56C1E">
        <w:rPr>
          <w:szCs w:val="24"/>
        </w:rPr>
        <w:t xml:space="preserve"> </w:t>
      </w:r>
      <w:r w:rsidR="00385462">
        <w:rPr>
          <w:szCs w:val="24"/>
        </w:rPr>
        <w:t xml:space="preserve">  It is important to improve upon the system to minimize errors, </w:t>
      </w:r>
      <w:proofErr w:type="gramStart"/>
      <w:r w:rsidR="00385462">
        <w:rPr>
          <w:szCs w:val="24"/>
        </w:rPr>
        <w:t>in order to</w:t>
      </w:r>
      <w:proofErr w:type="gramEnd"/>
      <w:r w:rsidR="00385462">
        <w:rPr>
          <w:szCs w:val="24"/>
        </w:rPr>
        <w:t xml:space="preserve"> mitigate</w:t>
      </w:r>
      <w:r w:rsidRPr="00E56C1E">
        <w:rPr>
          <w:szCs w:val="24"/>
        </w:rPr>
        <w:t xml:space="preserve"> ethical concerns about </w:t>
      </w:r>
      <w:r w:rsidR="00385462">
        <w:rPr>
          <w:szCs w:val="24"/>
        </w:rPr>
        <w:t xml:space="preserve">the existence of </w:t>
      </w:r>
      <w:r w:rsidRPr="00E56C1E">
        <w:rPr>
          <w:szCs w:val="24"/>
        </w:rPr>
        <w:t xml:space="preserve">biases </w:t>
      </w:r>
      <w:r w:rsidR="00E72B7E" w:rsidRPr="00E56C1E">
        <w:rPr>
          <w:szCs w:val="24"/>
        </w:rPr>
        <w:t>and</w:t>
      </w:r>
      <w:r w:rsidR="00E72B7E">
        <w:rPr>
          <w:szCs w:val="24"/>
        </w:rPr>
        <w:t xml:space="preserve"> discrimination</w:t>
      </w:r>
      <w:r w:rsidR="00385462">
        <w:rPr>
          <w:szCs w:val="24"/>
        </w:rPr>
        <w:t xml:space="preserve"> in the predictive policing model</w:t>
      </w:r>
      <w:proofErr w:type="gramStart"/>
      <w:r w:rsidR="00385462">
        <w:rPr>
          <w:szCs w:val="24"/>
        </w:rPr>
        <w:t>.</w:t>
      </w:r>
      <w:r w:rsidRPr="00E56C1E">
        <w:rPr>
          <w:szCs w:val="24"/>
        </w:rPr>
        <w:t xml:space="preserve"> .</w:t>
      </w:r>
      <w:proofErr w:type="gramEnd"/>
      <w:r w:rsidRPr="00E56C1E">
        <w:rPr>
          <w:szCs w:val="24"/>
        </w:rPr>
        <w:t xml:space="preserve"> For internally developed algorithms, Mugari and Obioha suggest that departments </w:t>
      </w:r>
      <w:r w:rsidR="00385462">
        <w:rPr>
          <w:szCs w:val="24"/>
        </w:rPr>
        <w:t xml:space="preserve">implement </w:t>
      </w:r>
      <w:r w:rsidRPr="00E56C1E">
        <w:rPr>
          <w:szCs w:val="24"/>
        </w:rPr>
        <w:t xml:space="preserve">policies to </w:t>
      </w:r>
      <w:r w:rsidR="00385462">
        <w:rPr>
          <w:szCs w:val="24"/>
        </w:rPr>
        <w:t xml:space="preserve">verify </w:t>
      </w:r>
      <w:r w:rsidRPr="00E56C1E">
        <w:rPr>
          <w:szCs w:val="24"/>
        </w:rPr>
        <w:t xml:space="preserve">the data before   imputed </w:t>
      </w:r>
      <w:r w:rsidR="00385462">
        <w:rPr>
          <w:szCs w:val="24"/>
        </w:rPr>
        <w:t xml:space="preserve">(inputted) </w:t>
      </w:r>
      <w:r w:rsidRPr="00E56C1E">
        <w:rPr>
          <w:szCs w:val="24"/>
        </w:rPr>
        <w:t>into predictive policing software.</w:t>
      </w:r>
      <w:r w:rsidRPr="00E56C1E">
        <w:rPr>
          <w:rStyle w:val="NoterefInText"/>
        </w:rPr>
        <w:footnoteReference w:id="183"/>
      </w:r>
      <w:r w:rsidRPr="00E56C1E">
        <w:rPr>
          <w:szCs w:val="24"/>
        </w:rPr>
        <w:t xml:space="preserve"> Externally, </w:t>
      </w:r>
      <w:r w:rsidR="00385462">
        <w:rPr>
          <w:szCs w:val="24"/>
        </w:rPr>
        <w:t>Mugari and Obioha</w:t>
      </w:r>
      <w:r w:rsidRPr="00E56C1E">
        <w:rPr>
          <w:szCs w:val="24"/>
        </w:rPr>
        <w:t xml:space="preserve"> call for the government to oversee the activities of law enforcement agencies that use predictive policing algorithms.</w:t>
      </w:r>
      <w:r w:rsidRPr="00E56C1E">
        <w:rPr>
          <w:rStyle w:val="NoterefInText"/>
        </w:rPr>
        <w:footnoteReference w:id="184"/>
      </w:r>
      <w:r w:rsidRPr="00E56C1E">
        <w:rPr>
          <w:szCs w:val="24"/>
        </w:rPr>
        <w:t xml:space="preserve"> </w:t>
      </w:r>
      <w:r w:rsidR="00385462">
        <w:rPr>
          <w:szCs w:val="24"/>
        </w:rPr>
        <w:t xml:space="preserve"> </w:t>
      </w:r>
      <w:r w:rsidRPr="00E56C1E">
        <w:rPr>
          <w:szCs w:val="24"/>
        </w:rPr>
        <w:t xml:space="preserve">Although the future development of laws surrounding AI in policing systems is unknown, law enforcement agencies should </w:t>
      </w:r>
      <w:r w:rsidR="00385462">
        <w:rPr>
          <w:szCs w:val="24"/>
        </w:rPr>
        <w:t xml:space="preserve">consider </w:t>
      </w:r>
      <w:r w:rsidRPr="00E56C1E">
        <w:rPr>
          <w:szCs w:val="24"/>
        </w:rPr>
        <w:t>future laws and policies regarding AI policing tool</w:t>
      </w:r>
      <w:r w:rsidR="00385462">
        <w:rPr>
          <w:szCs w:val="24"/>
        </w:rPr>
        <w:t>s</w:t>
      </w:r>
      <w:r w:rsidRPr="00E56C1E">
        <w:rPr>
          <w:szCs w:val="24"/>
        </w:rPr>
        <w:t xml:space="preserve">. Additionally, the use of AI as a policing tool must be confronted with a balance of individual rights and the values of society. </w:t>
      </w:r>
      <w:r w:rsidR="00385462">
        <w:rPr>
          <w:szCs w:val="24"/>
        </w:rPr>
        <w:t xml:space="preserve"> </w:t>
      </w:r>
      <w:r w:rsidRPr="00E56C1E">
        <w:rPr>
          <w:szCs w:val="24"/>
        </w:rPr>
        <w:t>Perry et al. note that the basic nature of predictive policing raises concerns about civil rights.</w:t>
      </w:r>
      <w:r w:rsidRPr="00E56C1E">
        <w:rPr>
          <w:rStyle w:val="NoterefInText"/>
        </w:rPr>
        <w:footnoteReference w:id="185"/>
      </w:r>
      <w:r w:rsidRPr="00E56C1E">
        <w:rPr>
          <w:szCs w:val="24"/>
        </w:rPr>
        <w:t xml:space="preserve">  Police officers must keep these concerns in mind when identifying and responding to crime hotspots that are identified by predictive policing algorithms.</w:t>
      </w:r>
    </w:p>
    <w:p w14:paraId="7C4AFF3B" w14:textId="70E27360" w:rsidR="00E56C1E" w:rsidRPr="00E56C1E" w:rsidRDefault="00E56C1E" w:rsidP="00E56C1E">
      <w:pPr>
        <w:pStyle w:val="Document"/>
      </w:pPr>
      <w:r w:rsidRPr="00E56C1E">
        <w:rPr>
          <w:szCs w:val="24"/>
        </w:rPr>
        <w:t xml:space="preserve">Lastly, it is important to note that some of these ethical concerns may naturally be addressed with the future development of AI. </w:t>
      </w:r>
      <w:r w:rsidR="00385462">
        <w:rPr>
          <w:szCs w:val="24"/>
        </w:rPr>
        <w:t xml:space="preserve"> </w:t>
      </w:r>
      <w:r w:rsidRPr="00E56C1E">
        <w:rPr>
          <w:szCs w:val="24"/>
        </w:rPr>
        <w:t>That is, currently most predictive policing systems are currently being integrated into police departments with little oversight.</w:t>
      </w:r>
      <w:r w:rsidRPr="00E56C1E">
        <w:rPr>
          <w:rStyle w:val="NoterefInText"/>
        </w:rPr>
        <w:footnoteReference w:id="186"/>
      </w:r>
      <w:r w:rsidRPr="00E56C1E">
        <w:rPr>
          <w:szCs w:val="24"/>
        </w:rPr>
        <w:t xml:space="preserve"> </w:t>
      </w:r>
      <w:r w:rsidR="00385462">
        <w:rPr>
          <w:szCs w:val="24"/>
        </w:rPr>
        <w:t xml:space="preserve"> </w:t>
      </w:r>
      <w:r w:rsidRPr="00E56C1E">
        <w:rPr>
          <w:szCs w:val="24"/>
        </w:rPr>
        <w:t xml:space="preserve">However, companies, such as </w:t>
      </w:r>
      <w:proofErr w:type="spellStart"/>
      <w:r w:rsidRPr="00E56C1E">
        <w:rPr>
          <w:szCs w:val="24"/>
        </w:rPr>
        <w:t>HunchLab</w:t>
      </w:r>
      <w:proofErr w:type="spellEnd"/>
      <w:r w:rsidRPr="00E56C1E">
        <w:rPr>
          <w:szCs w:val="24"/>
        </w:rPr>
        <w:t xml:space="preserve"> in the United States, are creating predictive policing software that uses </w:t>
      </w:r>
      <w:r w:rsidR="00385462">
        <w:rPr>
          <w:szCs w:val="24"/>
        </w:rPr>
        <w:t xml:space="preserve">more sophisticated and complex </w:t>
      </w:r>
      <w:r w:rsidRPr="00E56C1E">
        <w:rPr>
          <w:szCs w:val="24"/>
        </w:rPr>
        <w:t>Global AI.</w:t>
      </w:r>
      <w:r w:rsidRPr="00E56C1E">
        <w:rPr>
          <w:rStyle w:val="NoterefInText"/>
        </w:rPr>
        <w:footnoteReference w:id="187"/>
      </w:r>
      <w:r w:rsidRPr="00E56C1E">
        <w:rPr>
          <w:szCs w:val="24"/>
        </w:rPr>
        <w:t xml:space="preserve"> These developments imply that </w:t>
      </w:r>
      <w:r w:rsidRPr="00E56C1E">
        <w:rPr>
          <w:szCs w:val="24"/>
        </w:rPr>
        <w:lastRenderedPageBreak/>
        <w:t>future predictive policing algorithms might be able to do more than just analyze data that is imputed, such as compare past historical data with body-camera footage in real-time.</w:t>
      </w:r>
      <w:r w:rsidRPr="00E56C1E">
        <w:rPr>
          <w:rStyle w:val="NoterefInText"/>
        </w:rPr>
        <w:footnoteReference w:id="188"/>
      </w:r>
      <w:r w:rsidRPr="00E56C1E">
        <w:rPr>
          <w:szCs w:val="24"/>
        </w:rPr>
        <w:t xml:space="preserve"> </w:t>
      </w:r>
      <w:r w:rsidR="00385462">
        <w:rPr>
          <w:szCs w:val="24"/>
        </w:rPr>
        <w:t xml:space="preserve"> </w:t>
      </w:r>
      <w:r w:rsidRPr="00E56C1E">
        <w:rPr>
          <w:szCs w:val="24"/>
        </w:rPr>
        <w:t>These improvements improve these systems’ prediction capabilities</w:t>
      </w:r>
      <w:r w:rsidR="00385462">
        <w:rPr>
          <w:szCs w:val="24"/>
        </w:rPr>
        <w:t>,</w:t>
      </w:r>
      <w:r w:rsidRPr="00E56C1E">
        <w:rPr>
          <w:szCs w:val="24"/>
        </w:rPr>
        <w:t xml:space="preserve"> </w:t>
      </w:r>
      <w:r w:rsidR="00385462">
        <w:rPr>
          <w:szCs w:val="24"/>
        </w:rPr>
        <w:t>and</w:t>
      </w:r>
      <w:r w:rsidRPr="00E56C1E">
        <w:rPr>
          <w:szCs w:val="24"/>
        </w:rPr>
        <w:t xml:space="preserve"> also provide improvements in accuracy and trustworthiness.  However, the integration of any future developments in AI should be carefully monitored and balanced with individual rights and privacy concerns. </w:t>
      </w:r>
      <w:r w:rsidR="00385462">
        <w:rPr>
          <w:szCs w:val="24"/>
        </w:rPr>
        <w:t xml:space="preserve"> </w:t>
      </w:r>
      <w:r w:rsidRPr="00E56C1E">
        <w:rPr>
          <w:szCs w:val="24"/>
        </w:rPr>
        <w:t>Before the integration of any new system, law enforcement agencies should conduct independent research to ensure that the use of such a system would be appropriate and safe.</w:t>
      </w:r>
      <w:r w:rsidRPr="00E56C1E">
        <w:rPr>
          <w:rStyle w:val="NoterefInText"/>
        </w:rPr>
        <w:footnoteReference w:id="189"/>
      </w:r>
      <w:r w:rsidRPr="00E56C1E">
        <w:rPr>
          <w:szCs w:val="24"/>
        </w:rPr>
        <w:t xml:space="preserve"> </w:t>
      </w:r>
      <w:r w:rsidR="00385462">
        <w:rPr>
          <w:szCs w:val="24"/>
        </w:rPr>
        <w:t xml:space="preserve"> </w:t>
      </w:r>
      <w:r w:rsidRPr="00E56C1E">
        <w:rPr>
          <w:szCs w:val="24"/>
        </w:rPr>
        <w:t>If law enforcement agencies begin using systems that are made by independent companies, the agency and the company may work together to ensure that its officers are adequately trained and informed about the effects of AI systems.</w:t>
      </w:r>
      <w:r w:rsidRPr="00E56C1E">
        <w:rPr>
          <w:rStyle w:val="NoterefInText"/>
        </w:rPr>
        <w:footnoteReference w:id="190"/>
      </w:r>
      <w:r w:rsidRPr="00E56C1E">
        <w:rPr>
          <w:szCs w:val="24"/>
        </w:rPr>
        <w:t xml:space="preserve"> </w:t>
      </w:r>
      <w:r w:rsidR="00385462">
        <w:rPr>
          <w:szCs w:val="24"/>
        </w:rPr>
        <w:t xml:space="preserve"> </w:t>
      </w:r>
      <w:r w:rsidRPr="00E56C1E">
        <w:rPr>
          <w:szCs w:val="24"/>
        </w:rPr>
        <w:t xml:space="preserve">The integration of AI </w:t>
      </w:r>
      <w:r w:rsidR="00385462">
        <w:rPr>
          <w:szCs w:val="24"/>
        </w:rPr>
        <w:t xml:space="preserve">with predictive policing </w:t>
      </w:r>
      <w:r w:rsidRPr="00E56C1E">
        <w:rPr>
          <w:szCs w:val="24"/>
        </w:rPr>
        <w:t>marks a step forward in combatting crime</w:t>
      </w:r>
      <w:r w:rsidR="00385462">
        <w:rPr>
          <w:szCs w:val="24"/>
        </w:rPr>
        <w:t>,</w:t>
      </w:r>
      <w:r w:rsidRPr="00E56C1E">
        <w:rPr>
          <w:szCs w:val="24"/>
        </w:rPr>
        <w:t xml:space="preserve"> and this Note has shown that it has been successful thus far in reducing crime. By balancing these objectives with the general principles that each country values, law enforcement agencies will be able to facilitate the constructive use of predictive policing algorithms</w:t>
      </w:r>
      <w:r w:rsidR="00385462">
        <w:rPr>
          <w:szCs w:val="24"/>
        </w:rPr>
        <w:t xml:space="preserve"> in the future</w:t>
      </w:r>
      <w:r w:rsidRPr="00E56C1E">
        <w:rPr>
          <w:szCs w:val="24"/>
        </w:rPr>
        <w:t>.</w:t>
      </w:r>
    </w:p>
    <w:p w14:paraId="2B2A7A39" w14:textId="77777777" w:rsidR="00E56C1E" w:rsidRPr="00E56C1E" w:rsidRDefault="00E56C1E" w:rsidP="00C40261">
      <w:pPr>
        <w:pStyle w:val="SubHead1"/>
      </w:pPr>
      <w:bookmarkStart w:id="18" w:name="_Toc190939252"/>
      <w:r w:rsidRPr="00E56C1E">
        <w:t>Conclusion</w:t>
      </w:r>
      <w:bookmarkEnd w:id="18"/>
    </w:p>
    <w:p w14:paraId="54CA94CF" w14:textId="3A71225C" w:rsidR="00E56C1E" w:rsidRPr="00E56C1E" w:rsidRDefault="00E56C1E" w:rsidP="00E56C1E">
      <w:pPr>
        <w:pStyle w:val="Document"/>
      </w:pPr>
      <w:r w:rsidRPr="00E56C1E">
        <w:rPr>
          <w:szCs w:val="24"/>
        </w:rPr>
        <w:t xml:space="preserve">The use of predictive policing algorithms represents a paradigm shift in law enforcement, with the potential to enhance law enforcement and promote public safety through data-driven insights. </w:t>
      </w:r>
      <w:r w:rsidR="00385462">
        <w:rPr>
          <w:szCs w:val="24"/>
        </w:rPr>
        <w:t xml:space="preserve"> </w:t>
      </w:r>
      <w:r w:rsidRPr="00E56C1E">
        <w:rPr>
          <w:szCs w:val="24"/>
        </w:rPr>
        <w:t xml:space="preserve">However, this innovation is fraught with ethical dilemmas, particularly regarding discrimination, bias, and privacy. </w:t>
      </w:r>
      <w:r w:rsidR="00385462">
        <w:rPr>
          <w:szCs w:val="24"/>
        </w:rPr>
        <w:t xml:space="preserve"> </w:t>
      </w:r>
      <w:r w:rsidRPr="00E56C1E">
        <w:rPr>
          <w:szCs w:val="24"/>
        </w:rPr>
        <w:t>Comparative analysis reveals that countries like the United States and India face significant challenges with regulating bias</w:t>
      </w:r>
      <w:r w:rsidR="00385462">
        <w:rPr>
          <w:szCs w:val="24"/>
        </w:rPr>
        <w:t>,</w:t>
      </w:r>
      <w:r w:rsidRPr="00E56C1E">
        <w:rPr>
          <w:szCs w:val="24"/>
        </w:rPr>
        <w:t xml:space="preserve"> while China prioritizes state security at the expense of individual freedoms. Conversely, the EU has set a benchmark for ethical AI deployment through comprehensive legal frameworks</w:t>
      </w:r>
      <w:r w:rsidR="00385462">
        <w:rPr>
          <w:szCs w:val="24"/>
        </w:rPr>
        <w:t>,</w:t>
      </w:r>
      <w:r w:rsidRPr="00E56C1E">
        <w:rPr>
          <w:szCs w:val="24"/>
        </w:rPr>
        <w:t xml:space="preserve"> such as the GDPR and the AI Act.</w:t>
      </w:r>
    </w:p>
    <w:p w14:paraId="0D65DB2F" w14:textId="7849753A" w:rsidR="00E56C1E" w:rsidRDefault="00E56C1E" w:rsidP="00E56C1E">
      <w:pPr>
        <w:pStyle w:val="Document"/>
      </w:pPr>
      <w:r w:rsidRPr="00E56C1E">
        <w:rPr>
          <w:szCs w:val="24"/>
        </w:rPr>
        <w:t xml:space="preserve">As AI technologies continue to evolve, nations must follow transparent philosophies and inclusive approaches to predictive policing. </w:t>
      </w:r>
      <w:r w:rsidR="00385462">
        <w:rPr>
          <w:szCs w:val="24"/>
        </w:rPr>
        <w:t xml:space="preserve"> </w:t>
      </w:r>
      <w:r w:rsidRPr="00E56C1E">
        <w:rPr>
          <w:szCs w:val="24"/>
        </w:rPr>
        <w:t xml:space="preserve">Ultimately, achieving a balance between technological innovation and ethical responsibility will determine the success and sustainability of predictive policing systems worldwide. </w:t>
      </w:r>
      <w:r w:rsidR="00385462">
        <w:rPr>
          <w:szCs w:val="24"/>
        </w:rPr>
        <w:t xml:space="preserve"> </w:t>
      </w:r>
      <w:r w:rsidRPr="00E56C1E">
        <w:rPr>
          <w:szCs w:val="24"/>
        </w:rPr>
        <w:t>The EU’s model offers a promising blueprint for others to emulate, ensuring that AI serves as a tool for justice</w:t>
      </w:r>
      <w:r w:rsidR="00385462">
        <w:rPr>
          <w:szCs w:val="24"/>
        </w:rPr>
        <w:t>,</w:t>
      </w:r>
      <w:r w:rsidRPr="00E56C1E">
        <w:rPr>
          <w:szCs w:val="24"/>
        </w:rPr>
        <w:t xml:space="preserve"> rather than a mechanism for inequity.</w:t>
      </w:r>
    </w:p>
    <w:p w14:paraId="0A37501D" w14:textId="77777777" w:rsidR="00A03553" w:rsidRPr="00E56C1E" w:rsidRDefault="00A03553" w:rsidP="00E56C1E">
      <w:pPr>
        <w:pStyle w:val="Document"/>
      </w:pPr>
    </w:p>
    <w:sectPr w:rsidR="00A03553" w:rsidRPr="00E56C1E" w:rsidSect="003455F2">
      <w:headerReference w:type="even" r:id="rId8"/>
      <w:headerReference w:type="default" r:id="rId9"/>
      <w:headerReference w:type="first" r:id="rId10"/>
      <w:footerReference w:type="first" r:id="rId11"/>
      <w:type w:val="continuous"/>
      <w:pgSz w:w="12240" w:h="15840" w:code="1"/>
      <w:pgMar w:top="720" w:right="2900" w:bottom="2160" w:left="2900" w:header="720" w:footer="2160" w:gutter="0"/>
      <w:pgNumType w:start="10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61F2" w14:textId="77777777" w:rsidR="001E1561" w:rsidRPr="00D4552A" w:rsidRDefault="001E1561">
      <w:r w:rsidRPr="00D4552A">
        <w:separator/>
      </w:r>
    </w:p>
  </w:endnote>
  <w:endnote w:type="continuationSeparator" w:id="0">
    <w:p w14:paraId="16CAD99E" w14:textId="77777777" w:rsidR="001E1561" w:rsidRPr="00D4552A" w:rsidRDefault="001E1561">
      <w:r w:rsidRPr="00D4552A">
        <w:continuationSeparator/>
      </w:r>
    </w:p>
  </w:endnote>
  <w:endnote w:type="continuationNotice" w:id="1">
    <w:p w14:paraId="701B1622" w14:textId="77777777" w:rsidR="001E1561" w:rsidRDefault="001E1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08B6" w14:textId="77777777" w:rsidR="00E56C1E" w:rsidRPr="00D4552A" w:rsidRDefault="00864DAD">
    <w:pPr>
      <w:pStyle w:val="Footer"/>
      <w:tabs>
        <w:tab w:val="clear" w:pos="4320"/>
      </w:tabs>
      <w:spacing w:before="60"/>
      <w:rPr>
        <w:color w:val="000000"/>
        <w:szCs w:val="17"/>
      </w:rPr>
    </w:pPr>
    <w:r>
      <w:rPr>
        <w:smallCaps/>
        <w:color w:val="000000"/>
        <w:sz w:val="17"/>
        <w:szCs w:val="17"/>
      </w:rPr>
      <w:t>57</w:t>
    </w:r>
    <w:r w:rsidR="00E56C1E" w:rsidRPr="00D4552A">
      <w:rPr>
        <w:smallCaps/>
        <w:color w:val="000000"/>
        <w:sz w:val="17"/>
        <w:szCs w:val="17"/>
      </w:rPr>
      <w:t xml:space="preserve"> Cornell Int'l L.J. </w:t>
    </w:r>
    <w:r w:rsidR="00E56C1E" w:rsidRPr="00D4552A">
      <w:rPr>
        <w:smallCaps/>
        <w:color w:val="000000"/>
        <w:sz w:val="17"/>
        <w:szCs w:val="17"/>
      </w:rPr>
      <w:fldChar w:fldCharType="begin"/>
    </w:r>
    <w:r w:rsidR="00E56C1E" w:rsidRPr="00D4552A">
      <w:rPr>
        <w:smallCaps/>
        <w:color w:val="000000"/>
        <w:sz w:val="17"/>
        <w:szCs w:val="17"/>
      </w:rPr>
      <w:instrText xml:space="preserve"> PAGE  \* MERGEFORMAT </w:instrText>
    </w:r>
    <w:r w:rsidR="00E56C1E" w:rsidRPr="00D4552A">
      <w:rPr>
        <w:smallCaps/>
        <w:color w:val="000000"/>
        <w:sz w:val="17"/>
        <w:szCs w:val="17"/>
      </w:rPr>
      <w:fldChar w:fldCharType="separate"/>
    </w:r>
    <w:r w:rsidR="00E56C1E">
      <w:rPr>
        <w:smallCaps/>
        <w:noProof/>
        <w:color w:val="000000"/>
        <w:sz w:val="17"/>
        <w:szCs w:val="17"/>
      </w:rPr>
      <w:t>101</w:t>
    </w:r>
    <w:r w:rsidR="00E56C1E" w:rsidRPr="00D4552A">
      <w:rPr>
        <w:smallCaps/>
        <w:color w:val="000000"/>
        <w:sz w:val="17"/>
        <w:szCs w:val="17"/>
      </w:rPr>
      <w:fldChar w:fldCharType="end"/>
    </w:r>
    <w:r w:rsidR="00E56C1E" w:rsidRPr="00D4552A">
      <w:rPr>
        <w:smallCaps/>
        <w:color w:val="000000"/>
        <w:sz w:val="17"/>
        <w:szCs w:val="17"/>
      </w:rPr>
      <w:t xml:space="preserve"> (</w:t>
    </w:r>
    <w:r>
      <w:rPr>
        <w:smallCaps/>
        <w:color w:val="000000"/>
        <w:sz w:val="17"/>
        <w:szCs w:val="17"/>
      </w:rPr>
      <w:t>2025</w:t>
    </w:r>
    <w:r w:rsidR="00E56C1E" w:rsidRPr="00D4552A">
      <w:rPr>
        <w:smallCaps/>
        <w:color w:val="000000"/>
        <w:sz w:val="17"/>
        <w:szCs w:val="17"/>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7A30" w14:textId="77777777" w:rsidR="001E1561" w:rsidRPr="00E56C1E" w:rsidRDefault="001E1561" w:rsidP="00E56C1E">
      <w:pPr>
        <w:pStyle w:val="Footer"/>
        <w:pBdr>
          <w:bottom w:val="single" w:sz="6" w:space="0" w:color="auto"/>
        </w:pBdr>
        <w:spacing w:after="80"/>
      </w:pPr>
    </w:p>
  </w:footnote>
  <w:footnote w:type="continuationSeparator" w:id="0">
    <w:p w14:paraId="133C6E2C" w14:textId="77777777" w:rsidR="001E1561" w:rsidRPr="00E56C1E" w:rsidRDefault="001E1561" w:rsidP="00E56C1E">
      <w:pPr>
        <w:pStyle w:val="Footer"/>
        <w:pBdr>
          <w:bottom w:val="single" w:sz="6" w:space="0" w:color="auto"/>
        </w:pBdr>
        <w:spacing w:after="80"/>
      </w:pPr>
    </w:p>
  </w:footnote>
  <w:footnote w:type="continuationNotice" w:id="1">
    <w:p w14:paraId="1A85FF8A" w14:textId="77777777" w:rsidR="001E1561" w:rsidRDefault="001E1561"/>
  </w:footnote>
  <w:footnote w:id="2">
    <w:p w14:paraId="57C37D0F" w14:textId="560C83AF" w:rsidR="00C40261" w:rsidRPr="00E56C1E" w:rsidRDefault="00C40261" w:rsidP="00E56C1E">
      <w:pPr>
        <w:pStyle w:val="FootNote"/>
      </w:pPr>
      <w:r w:rsidRPr="00E56C1E">
        <w:tab/>
      </w:r>
      <w:r w:rsidRPr="00C40261">
        <w:t>†</w:t>
      </w:r>
      <w:r>
        <w:t> </w:t>
      </w:r>
      <w:r>
        <w:tab/>
      </w:r>
      <w:r w:rsidRPr="00E56C1E">
        <w:tab/>
        <w:t xml:space="preserve"> </w:t>
      </w:r>
      <w:r w:rsidR="00E72B7E">
        <w:t xml:space="preserve">J.D. Candidate, Class of 2026. </w:t>
      </w:r>
      <w:r w:rsidR="007615B9">
        <w:t>University of Pennsylvania, Class of 2026.</w:t>
      </w:r>
    </w:p>
  </w:footnote>
  <w:footnote w:id="3">
    <w:p w14:paraId="17AE5593"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Ishmael Mugari &amp; Emeka E. Obioha, </w:t>
      </w:r>
      <w:r w:rsidRPr="00E56C1E">
        <w:rPr>
          <w:i/>
          <w:szCs w:val="20"/>
        </w:rPr>
        <w:t>Predictive Policing and Crime Control in The United States of America and Europe: Trends in a Decade of Research and the Future of Predictive Policing</w:t>
      </w:r>
      <w:r w:rsidRPr="00E56C1E">
        <w:rPr>
          <w:szCs w:val="20"/>
        </w:rPr>
        <w:t xml:space="preserve">, 10 </w:t>
      </w:r>
      <w:r w:rsidRPr="00E56C1E">
        <w:rPr>
          <w:smallCaps/>
          <w:szCs w:val="20"/>
        </w:rPr>
        <w:t>Soc. Sci.</w:t>
      </w:r>
      <w:r w:rsidRPr="00E56C1E">
        <w:rPr>
          <w:szCs w:val="20"/>
        </w:rPr>
        <w:t xml:space="preserve"> 234, 1 (2021). </w:t>
      </w:r>
    </w:p>
  </w:footnote>
  <w:footnote w:id="4">
    <w:p w14:paraId="2BBBC0E5"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5">
    <w:p w14:paraId="46CB6C40"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Jens Halterlein, </w:t>
      </w:r>
      <w:r w:rsidRPr="00E56C1E">
        <w:rPr>
          <w:i/>
          <w:szCs w:val="20"/>
        </w:rPr>
        <w:t>Epistemologies of Predictive Policing: Mathematical Social Science, Social Physics and Machine Learning</w:t>
      </w:r>
      <w:r w:rsidRPr="00E56C1E">
        <w:rPr>
          <w:szCs w:val="20"/>
        </w:rPr>
        <w:t xml:space="preserve">, 8 </w:t>
      </w:r>
      <w:r w:rsidRPr="00E56C1E">
        <w:rPr>
          <w:smallCaps/>
          <w:szCs w:val="20"/>
        </w:rPr>
        <w:t>Big Data &amp; Soc</w:t>
      </w:r>
      <w:r>
        <w:rPr>
          <w:smallCaps/>
          <w:szCs w:val="20"/>
        </w:rPr>
        <w:t>’</w:t>
      </w:r>
      <w:r w:rsidRPr="00E56C1E">
        <w:rPr>
          <w:smallCaps/>
          <w:szCs w:val="20"/>
        </w:rPr>
        <w:t xml:space="preserve">y, </w:t>
      </w:r>
      <w:r w:rsidRPr="00E56C1E">
        <w:rPr>
          <w:szCs w:val="20"/>
        </w:rPr>
        <w:t>1 (2021),</w:t>
      </w:r>
    </w:p>
  </w:footnote>
  <w:footnote w:id="6">
    <w:p w14:paraId="7668CBB8" w14:textId="7DDE907C" w:rsidR="00E56C1E" w:rsidRPr="00E56C1E" w:rsidRDefault="00E56C1E" w:rsidP="00E56C1E">
      <w:pPr>
        <w:pStyle w:val="FootNote"/>
      </w:pPr>
      <w:r w:rsidRPr="00E56C1E">
        <w:tab/>
      </w:r>
      <w:r w:rsidRPr="00E56C1E">
        <w:rPr>
          <w:rStyle w:val="NoterefInNote"/>
        </w:rPr>
        <w:footnoteRef/>
      </w:r>
      <w:r w:rsidRPr="00E56C1E">
        <w:t>.</w:t>
      </w:r>
      <w:r w:rsidRPr="00E56C1E">
        <w:tab/>
      </w:r>
      <w:r w:rsidRPr="0050307F">
        <w:rPr>
          <w:smallCaps/>
          <w:szCs w:val="20"/>
        </w:rPr>
        <w:t xml:space="preserve"> Walter L. Perry et al., Predictive Policing: The Role of Crime Forecasting in Law Enforcement Operations</w:t>
      </w:r>
      <w:r w:rsidR="005A0222">
        <w:rPr>
          <w:szCs w:val="20"/>
        </w:rPr>
        <w:t xml:space="preserve"> </w:t>
      </w:r>
      <w:r w:rsidRPr="00E56C1E">
        <w:rPr>
          <w:szCs w:val="20"/>
        </w:rPr>
        <w:t>xiii (2013).</w:t>
      </w:r>
    </w:p>
  </w:footnote>
  <w:footnote w:id="7">
    <w:p w14:paraId="13A897EA"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r w:rsidRPr="00E56C1E">
        <w:rPr>
          <w:szCs w:val="20"/>
        </w:rPr>
        <w:t>at 4.</w:t>
      </w:r>
    </w:p>
  </w:footnote>
  <w:footnote w:id="8">
    <w:p w14:paraId="226AFF8B"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r w:rsidRPr="00E56C1E">
        <w:rPr>
          <w:szCs w:val="20"/>
        </w:rPr>
        <w:t>at 5-6.</w:t>
      </w:r>
    </w:p>
  </w:footnote>
  <w:footnote w:id="9">
    <w:p w14:paraId="3E72984E"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0">
    <w:p w14:paraId="445E798A"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r w:rsidRPr="00E56C1E">
        <w:rPr>
          <w:szCs w:val="20"/>
        </w:rPr>
        <w:t>.</w:t>
      </w:r>
    </w:p>
  </w:footnote>
  <w:footnote w:id="11">
    <w:p w14:paraId="6FA702D6"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50307F">
        <w:rPr>
          <w:smallCaps/>
          <w:szCs w:val="20"/>
        </w:rPr>
        <w:t xml:space="preserve"> Sarah Brayne</w:t>
      </w:r>
      <w:r w:rsidRPr="00E56C1E">
        <w:rPr>
          <w:szCs w:val="20"/>
        </w:rPr>
        <w:t xml:space="preserve">, </w:t>
      </w:r>
      <w:r w:rsidRPr="00E56C1E">
        <w:rPr>
          <w:smallCaps/>
          <w:szCs w:val="20"/>
        </w:rPr>
        <w:t>Predict and Surveil: Data, Discretion, and the Future of Policing</w:t>
      </w:r>
      <w:r w:rsidRPr="00E56C1E">
        <w:rPr>
          <w:szCs w:val="20"/>
        </w:rPr>
        <w:t xml:space="preserve"> 1 (2021).</w:t>
      </w:r>
    </w:p>
  </w:footnote>
  <w:footnote w:id="12">
    <w:p w14:paraId="51D77802" w14:textId="708D8D74" w:rsidR="00E56C1E" w:rsidRPr="00E56C1E" w:rsidRDefault="00E56C1E" w:rsidP="00E56C1E">
      <w:pPr>
        <w:pStyle w:val="FootNote"/>
        <w:rPr>
          <w:szCs w:val="16"/>
        </w:rPr>
      </w:pPr>
      <w:r w:rsidRPr="00E56C1E">
        <w:tab/>
      </w:r>
      <w:r w:rsidRPr="00E56C1E">
        <w:rPr>
          <w:rStyle w:val="NoterefInNote"/>
        </w:rPr>
        <w:footnoteRef/>
      </w:r>
      <w:r w:rsidRPr="00E56C1E">
        <w:t>.</w:t>
      </w:r>
      <w:r w:rsidRPr="00E56C1E">
        <w:tab/>
      </w:r>
      <w:r w:rsidRPr="00E56C1E">
        <w:rPr>
          <w:szCs w:val="20"/>
        </w:rPr>
        <w:t xml:space="preserve"> Jennifer Lynch, </w:t>
      </w:r>
      <w:r w:rsidRPr="00E56C1E">
        <w:rPr>
          <w:i/>
          <w:szCs w:val="20"/>
        </w:rPr>
        <w:t>Face Off: Law Enforcement Use of Facial Recognition Technology</w:t>
      </w:r>
      <w:r w:rsidRPr="00E56C1E">
        <w:rPr>
          <w:szCs w:val="20"/>
        </w:rPr>
        <w:t xml:space="preserve">, </w:t>
      </w:r>
      <w:r w:rsidRPr="00E56C1E">
        <w:rPr>
          <w:smallCaps/>
          <w:szCs w:val="20"/>
        </w:rPr>
        <w:t>Elec</w:t>
      </w:r>
      <w:r w:rsidR="005A0222">
        <w:rPr>
          <w:smallCaps/>
          <w:szCs w:val="20"/>
        </w:rPr>
        <w:t>.</w:t>
      </w:r>
      <w:r w:rsidRPr="00E56C1E">
        <w:rPr>
          <w:smallCaps/>
          <w:szCs w:val="20"/>
        </w:rPr>
        <w:t xml:space="preserve"> Frontier Found</w:t>
      </w:r>
      <w:r w:rsidR="005A0222">
        <w:rPr>
          <w:smallCaps/>
          <w:szCs w:val="20"/>
        </w:rPr>
        <w:t>.</w:t>
      </w:r>
      <w:r w:rsidRPr="00E56C1E">
        <w:rPr>
          <w:szCs w:val="20"/>
        </w:rPr>
        <w:t xml:space="preserve"> (2018) </w:t>
      </w:r>
      <w:hyperlink r:id="rId1">
        <w:r w:rsidRPr="00E56C1E">
          <w:rPr>
            <w:color w:val="1155CC"/>
            <w:szCs w:val="20"/>
            <w:u w:val="single"/>
          </w:rPr>
          <w:t>https://www.eff.org/wp/face-law-enforcement-use-facial-recognition-technology</w:t>
        </w:r>
      </w:hyperlink>
      <w:r w:rsidR="00E72B7E">
        <w:t xml:space="preserve"> [</w:t>
      </w:r>
      <w:r w:rsidR="00E72B7E" w:rsidRPr="00E72B7E">
        <w:t>https://perma.cc/5SJL-P8WX</w:t>
      </w:r>
      <w:r w:rsidR="00E72B7E">
        <w:t>]</w:t>
      </w:r>
      <w:r w:rsidRPr="00E56C1E">
        <w:rPr>
          <w:szCs w:val="20"/>
        </w:rPr>
        <w:t xml:space="preserve">. </w:t>
      </w:r>
    </w:p>
  </w:footnote>
  <w:footnote w:id="13">
    <w:p w14:paraId="04DE7418"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Perry, </w:t>
      </w:r>
      <w:r w:rsidRPr="00E56C1E">
        <w:rPr>
          <w:i/>
          <w:szCs w:val="20"/>
        </w:rPr>
        <w:t xml:space="preserve">supra </w:t>
      </w:r>
      <w:r w:rsidRPr="00E56C1E">
        <w:rPr>
          <w:szCs w:val="20"/>
        </w:rPr>
        <w:t>note 4.</w:t>
      </w:r>
    </w:p>
  </w:footnote>
  <w:footnote w:id="14">
    <w:p w14:paraId="7FC7CFE6" w14:textId="7F2599BC"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Albert Meijer &amp; Martijn Wessels, </w:t>
      </w:r>
      <w:r w:rsidRPr="00E56C1E">
        <w:rPr>
          <w:i/>
          <w:szCs w:val="20"/>
        </w:rPr>
        <w:t>Predictive Policing: Review of Benefits and Drawbacks</w:t>
      </w:r>
      <w:r w:rsidRPr="00E56C1E">
        <w:rPr>
          <w:szCs w:val="20"/>
        </w:rPr>
        <w:t xml:space="preserve">, 42 </w:t>
      </w:r>
      <w:r w:rsidRPr="00E56C1E">
        <w:rPr>
          <w:smallCaps/>
          <w:szCs w:val="20"/>
        </w:rPr>
        <w:t>Int</w:t>
      </w:r>
      <w:r>
        <w:rPr>
          <w:smallCaps/>
          <w:szCs w:val="20"/>
        </w:rPr>
        <w:t>’</w:t>
      </w:r>
      <w:r w:rsidRPr="00E56C1E">
        <w:rPr>
          <w:smallCaps/>
          <w:szCs w:val="20"/>
        </w:rPr>
        <w:t xml:space="preserve">l J. Pub. Admin. </w:t>
      </w:r>
      <w:r w:rsidRPr="00E56C1E">
        <w:rPr>
          <w:szCs w:val="20"/>
        </w:rPr>
        <w:t>1031,</w:t>
      </w:r>
      <w:r w:rsidR="005A0222">
        <w:rPr>
          <w:szCs w:val="20"/>
        </w:rPr>
        <w:t xml:space="preserve"> </w:t>
      </w:r>
      <w:r w:rsidRPr="00E56C1E">
        <w:rPr>
          <w:szCs w:val="20"/>
        </w:rPr>
        <w:t>1033 (2019).</w:t>
      </w:r>
    </w:p>
  </w:footnote>
  <w:footnote w:id="15">
    <w:p w14:paraId="2EA188D0" w14:textId="5BDF5863"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Roumeliotis, K.I.; Tselikas, N.D. </w:t>
      </w:r>
      <w:r w:rsidRPr="00E56C1E">
        <w:rPr>
          <w:i/>
          <w:szCs w:val="20"/>
        </w:rPr>
        <w:t>ChatGPT and Open-AI Models: A Preliminary Review.</w:t>
      </w:r>
      <w:r w:rsidRPr="00E56C1E">
        <w:rPr>
          <w:szCs w:val="20"/>
        </w:rPr>
        <w:t xml:space="preserve"> </w:t>
      </w:r>
      <w:r w:rsidR="005A0222" w:rsidRPr="0050307F">
        <w:rPr>
          <w:smallCaps/>
          <w:szCs w:val="20"/>
        </w:rPr>
        <w:t xml:space="preserve">15 </w:t>
      </w:r>
      <w:r w:rsidRPr="0050307F">
        <w:rPr>
          <w:smallCaps/>
          <w:szCs w:val="20"/>
        </w:rPr>
        <w:t>Future Internet 192</w:t>
      </w:r>
      <w:r w:rsidRPr="00E56C1E">
        <w:rPr>
          <w:szCs w:val="20"/>
        </w:rPr>
        <w:t xml:space="preserve"> (2023)</w:t>
      </w:r>
      <w:r w:rsidR="005A0222">
        <w:rPr>
          <w:szCs w:val="20"/>
        </w:rPr>
        <w:t>.</w:t>
      </w:r>
    </w:p>
  </w:footnote>
  <w:footnote w:id="16">
    <w:p w14:paraId="67546444"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Alan Turing, </w:t>
      </w:r>
      <w:r w:rsidRPr="00E56C1E">
        <w:rPr>
          <w:i/>
          <w:szCs w:val="20"/>
        </w:rPr>
        <w:t>Computing Machinery and Intelligence</w:t>
      </w:r>
      <w:r w:rsidRPr="00E56C1E">
        <w:rPr>
          <w:szCs w:val="20"/>
        </w:rPr>
        <w:t xml:space="preserve">, 59 </w:t>
      </w:r>
      <w:r w:rsidRPr="00E56C1E">
        <w:rPr>
          <w:smallCaps/>
          <w:szCs w:val="20"/>
        </w:rPr>
        <w:t>Mind</w:t>
      </w:r>
      <w:r w:rsidRPr="00E56C1E">
        <w:rPr>
          <w:szCs w:val="20"/>
        </w:rPr>
        <w:t xml:space="preserve"> 433, 449 (1950).</w:t>
      </w:r>
    </w:p>
  </w:footnote>
  <w:footnote w:id="17">
    <w:p w14:paraId="15EAD27B" w14:textId="77777777" w:rsidR="00E56C1E" w:rsidRPr="00E56C1E" w:rsidRDefault="00E56C1E" w:rsidP="00E56C1E">
      <w:pPr>
        <w:pStyle w:val="FootNote"/>
      </w:pPr>
      <w:r w:rsidRPr="00E56C1E">
        <w:rPr>
          <w:smallCaps/>
        </w:rPr>
        <w:tab/>
      </w:r>
      <w:r w:rsidRPr="00E56C1E">
        <w:rPr>
          <w:rStyle w:val="NoterefInNote"/>
        </w:rPr>
        <w:footnoteRef/>
      </w:r>
      <w:r w:rsidRPr="00E56C1E">
        <w:rPr>
          <w:smallCaps/>
        </w:rPr>
        <w:t>.</w:t>
      </w:r>
      <w:r w:rsidRPr="00E56C1E">
        <w:rPr>
          <w:smallCaps/>
        </w:rPr>
        <w:tab/>
      </w:r>
      <w:r w:rsidRPr="00E56C1E">
        <w:rPr>
          <w:smallCaps/>
          <w:szCs w:val="20"/>
        </w:rPr>
        <w:t xml:space="preserve"> Predictive Policing and Artificial Intelligence </w:t>
      </w:r>
      <w:r w:rsidRPr="00E56C1E">
        <w:rPr>
          <w:szCs w:val="20"/>
        </w:rPr>
        <w:t>24 (John L.M. McDaniel &amp; Ken Pease eds., 2021).</w:t>
      </w:r>
    </w:p>
  </w:footnote>
  <w:footnote w:id="18">
    <w:p w14:paraId="7F26AC94"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9">
    <w:p w14:paraId="689D8725"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Richard A. Berk, </w:t>
      </w:r>
      <w:r w:rsidRPr="00E56C1E">
        <w:rPr>
          <w:i/>
          <w:szCs w:val="20"/>
        </w:rPr>
        <w:t>Artificial Intelligence, Predictive Policing, and Risk Assessment for Law Enforcement</w:t>
      </w:r>
      <w:r w:rsidRPr="00E56C1E">
        <w:rPr>
          <w:szCs w:val="20"/>
        </w:rPr>
        <w:t xml:space="preserve">, 4 </w:t>
      </w:r>
      <w:r w:rsidRPr="00E56C1E">
        <w:rPr>
          <w:smallCaps/>
          <w:szCs w:val="20"/>
        </w:rPr>
        <w:t>Ann. Rev. Criminology</w:t>
      </w:r>
      <w:r w:rsidRPr="00E56C1E">
        <w:rPr>
          <w:szCs w:val="20"/>
        </w:rPr>
        <w:t xml:space="preserve"> 209, 215 (2021).</w:t>
      </w:r>
    </w:p>
  </w:footnote>
  <w:footnote w:id="20">
    <w:p w14:paraId="5091EE12"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r w:rsidRPr="00E56C1E">
        <w:rPr>
          <w:szCs w:val="20"/>
        </w:rPr>
        <w:t xml:space="preserve">. </w:t>
      </w:r>
    </w:p>
  </w:footnote>
  <w:footnote w:id="21">
    <w:p w14:paraId="239E89B9"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r w:rsidRPr="00E56C1E">
        <w:rPr>
          <w:szCs w:val="20"/>
        </w:rPr>
        <w:t xml:space="preserve"> at 216.</w:t>
      </w:r>
    </w:p>
  </w:footnote>
  <w:footnote w:id="22">
    <w:p w14:paraId="734E1A81"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Aaron Shapiro, </w:t>
      </w:r>
      <w:r w:rsidRPr="0050307F">
        <w:rPr>
          <w:i/>
          <w:iCs/>
          <w:szCs w:val="20"/>
        </w:rPr>
        <w:t>Reform Predictive Policing</w:t>
      </w:r>
      <w:r w:rsidRPr="00E56C1E">
        <w:rPr>
          <w:szCs w:val="20"/>
        </w:rPr>
        <w:t xml:space="preserve">, 541 </w:t>
      </w:r>
      <w:r w:rsidRPr="0050307F">
        <w:rPr>
          <w:smallCaps/>
          <w:szCs w:val="20"/>
        </w:rPr>
        <w:t>Nature</w:t>
      </w:r>
      <w:r w:rsidRPr="00E56C1E">
        <w:rPr>
          <w:szCs w:val="20"/>
        </w:rPr>
        <w:t xml:space="preserve"> 458 (2017).</w:t>
      </w:r>
    </w:p>
  </w:footnote>
  <w:footnote w:id="23">
    <w:p w14:paraId="3443FDDF"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r w:rsidRPr="00E56C1E">
        <w:rPr>
          <w:szCs w:val="20"/>
        </w:rPr>
        <w:t xml:space="preserve">. </w:t>
      </w:r>
    </w:p>
  </w:footnote>
  <w:footnote w:id="24">
    <w:p w14:paraId="7BF61520" w14:textId="21400043" w:rsidR="00E56C1E" w:rsidRPr="00E56C1E" w:rsidRDefault="00E56C1E" w:rsidP="00E56C1E">
      <w:pPr>
        <w:pStyle w:val="FootNote"/>
      </w:pPr>
      <w:r w:rsidRPr="00E56C1E">
        <w:tab/>
      </w:r>
      <w:r w:rsidRPr="00E56C1E">
        <w:rPr>
          <w:rStyle w:val="NoterefInNote"/>
        </w:rPr>
        <w:footnoteRef/>
      </w:r>
      <w:r w:rsidRPr="00E56C1E">
        <w:t>.</w:t>
      </w:r>
      <w:r w:rsidRPr="00E56C1E">
        <w:tab/>
      </w:r>
      <w:r w:rsidR="005A0222">
        <w:t xml:space="preserve"> </w:t>
      </w:r>
      <w:r w:rsidR="005A0222">
        <w:rPr>
          <w:i/>
          <w:iCs/>
          <w:szCs w:val="20"/>
        </w:rPr>
        <w:t>Id</w:t>
      </w:r>
      <w:r w:rsidRPr="00556245">
        <w:rPr>
          <w:i/>
          <w:iCs/>
          <w:szCs w:val="20"/>
        </w:rPr>
        <w:t>.</w:t>
      </w:r>
    </w:p>
  </w:footnote>
  <w:footnote w:id="25">
    <w:p w14:paraId="39D6CA20"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26">
    <w:p w14:paraId="531E6E18" w14:textId="444AF57C"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005A0222">
        <w:rPr>
          <w:i/>
          <w:iCs/>
          <w:szCs w:val="20"/>
        </w:rPr>
        <w:t xml:space="preserve">Id. at </w:t>
      </w:r>
      <w:r w:rsidRPr="00E56C1E">
        <w:rPr>
          <w:szCs w:val="20"/>
        </w:rPr>
        <w:t>458.</w:t>
      </w:r>
    </w:p>
  </w:footnote>
  <w:footnote w:id="27">
    <w:p w14:paraId="0F6FBB08"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28">
    <w:p w14:paraId="5E221B55" w14:textId="77777777" w:rsidR="00E56C1E" w:rsidRPr="00E56C1E" w:rsidRDefault="00E56C1E" w:rsidP="00E56C1E">
      <w:pPr>
        <w:pStyle w:val="FootNote"/>
        <w:rPr>
          <w:szCs w:val="20"/>
        </w:rPr>
      </w:pPr>
      <w:r w:rsidRPr="00E56C1E">
        <w:rPr>
          <w:i/>
        </w:rPr>
        <w:tab/>
      </w:r>
      <w:r w:rsidRPr="00E56C1E">
        <w:rPr>
          <w:rStyle w:val="NoterefInNote"/>
        </w:rPr>
        <w:footnoteRef/>
      </w:r>
      <w:r w:rsidRPr="00E56C1E">
        <w:rPr>
          <w:i/>
        </w:rPr>
        <w:t>.</w:t>
      </w:r>
      <w:r w:rsidRPr="00E56C1E">
        <w:rPr>
          <w:i/>
        </w:rPr>
        <w:tab/>
      </w:r>
      <w:r w:rsidRPr="00E56C1E">
        <w:rPr>
          <w:i/>
          <w:szCs w:val="20"/>
        </w:rPr>
        <w:t xml:space="preserve"> Id.</w:t>
      </w:r>
    </w:p>
  </w:footnote>
  <w:footnote w:id="29">
    <w:p w14:paraId="4FEB582D" w14:textId="77777777" w:rsidR="00E56C1E" w:rsidRPr="00E56C1E" w:rsidRDefault="00E56C1E" w:rsidP="00E56C1E">
      <w:pPr>
        <w:pStyle w:val="FootNote"/>
      </w:pPr>
      <w:r w:rsidRPr="00E56C1E">
        <w:rPr>
          <w:i/>
        </w:rPr>
        <w:tab/>
      </w:r>
      <w:r w:rsidRPr="00E56C1E">
        <w:rPr>
          <w:rStyle w:val="NoterefInNote"/>
        </w:rPr>
        <w:footnoteRef/>
      </w:r>
      <w:r w:rsidRPr="00E56C1E">
        <w:rPr>
          <w:i/>
        </w:rPr>
        <w:t>.</w:t>
      </w:r>
      <w:r w:rsidRPr="00E56C1E">
        <w:rPr>
          <w:i/>
        </w:rPr>
        <w:tab/>
      </w:r>
      <w:r w:rsidRPr="00E56C1E">
        <w:rPr>
          <w:i/>
          <w:szCs w:val="20"/>
        </w:rPr>
        <w:t xml:space="preserve"> Id. </w:t>
      </w:r>
    </w:p>
  </w:footnote>
  <w:footnote w:id="30">
    <w:p w14:paraId="5820396B"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31">
    <w:p w14:paraId="74D46D6B" w14:textId="2F56BFD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Mugari </w:t>
      </w:r>
      <w:r w:rsidR="005A0222">
        <w:rPr>
          <w:szCs w:val="20"/>
        </w:rPr>
        <w:t>&amp;</w:t>
      </w:r>
      <w:r w:rsidRPr="00E56C1E">
        <w:rPr>
          <w:szCs w:val="20"/>
        </w:rPr>
        <w:t xml:space="preserve"> Obioha, </w:t>
      </w:r>
      <w:r w:rsidRPr="00E56C1E">
        <w:rPr>
          <w:i/>
          <w:szCs w:val="20"/>
        </w:rPr>
        <w:t xml:space="preserve">supra </w:t>
      </w:r>
      <w:r w:rsidRPr="00E56C1E">
        <w:rPr>
          <w:szCs w:val="20"/>
        </w:rPr>
        <w:t>note 1 at 4.</w:t>
      </w:r>
    </w:p>
  </w:footnote>
  <w:footnote w:id="32">
    <w:p w14:paraId="6AD5F453" w14:textId="2E0A691B"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50307F">
        <w:rPr>
          <w:smallCaps/>
          <w:szCs w:val="20"/>
        </w:rPr>
        <w:t>Perry</w:t>
      </w:r>
      <w:r w:rsidRPr="00E56C1E">
        <w:rPr>
          <w:szCs w:val="20"/>
        </w:rPr>
        <w:t xml:space="preserve">, </w:t>
      </w:r>
      <w:r w:rsidRPr="00E56C1E">
        <w:rPr>
          <w:i/>
          <w:szCs w:val="20"/>
        </w:rPr>
        <w:t>supra</w:t>
      </w:r>
      <w:r w:rsidRPr="00E56C1E">
        <w:rPr>
          <w:szCs w:val="20"/>
        </w:rPr>
        <w:t xml:space="preserve"> note </w:t>
      </w:r>
      <w:r w:rsidR="005A0222">
        <w:rPr>
          <w:szCs w:val="20"/>
        </w:rPr>
        <w:t>4</w:t>
      </w:r>
      <w:r w:rsidRPr="00E56C1E">
        <w:rPr>
          <w:szCs w:val="20"/>
        </w:rPr>
        <w:t>.</w:t>
      </w:r>
    </w:p>
  </w:footnote>
  <w:footnote w:id="33">
    <w:p w14:paraId="51A10297"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34">
    <w:p w14:paraId="41B3F869"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35">
    <w:p w14:paraId="0B12312C"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Tzu-Wei Hung &amp; Chung-Ping Yen,</w:t>
      </w:r>
      <w:r w:rsidRPr="00E56C1E">
        <w:rPr>
          <w:i/>
          <w:szCs w:val="20"/>
        </w:rPr>
        <w:t xml:space="preserve"> On the Person-Based Predictive Policing of AI</w:t>
      </w:r>
      <w:r w:rsidRPr="00E56C1E">
        <w:rPr>
          <w:szCs w:val="20"/>
        </w:rPr>
        <w:t xml:space="preserve">, 23 </w:t>
      </w:r>
      <w:r w:rsidRPr="0050307F">
        <w:rPr>
          <w:smallCaps/>
          <w:szCs w:val="20"/>
        </w:rPr>
        <w:t>Ethics &amp; Info. Tech</w:t>
      </w:r>
      <w:r w:rsidRPr="00E56C1E">
        <w:rPr>
          <w:szCs w:val="20"/>
        </w:rPr>
        <w:t>. 165 (2021).</w:t>
      </w:r>
    </w:p>
  </w:footnote>
  <w:footnote w:id="36">
    <w:p w14:paraId="28F76B02"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37">
    <w:p w14:paraId="52B3C59B"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38">
    <w:p w14:paraId="2E707E37" w14:textId="6E4241DE"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proofErr w:type="spellStart"/>
      <w:r w:rsidRPr="00E56C1E">
        <w:rPr>
          <w:szCs w:val="20"/>
        </w:rPr>
        <w:t>Zuwanda</w:t>
      </w:r>
      <w:proofErr w:type="spellEnd"/>
      <w:r w:rsidRPr="00E56C1E">
        <w:rPr>
          <w:szCs w:val="20"/>
        </w:rPr>
        <w:t xml:space="preserve"> Z. S. et al., E</w:t>
      </w:r>
      <w:r w:rsidRPr="00E56C1E">
        <w:rPr>
          <w:i/>
          <w:szCs w:val="20"/>
        </w:rPr>
        <w:t>thical and Legal Analysis of Artificial Intelligence Systems in Law Enforcement with a Study of Potential Human Rights Violations in Indonesia</w:t>
      </w:r>
      <w:r w:rsidRPr="00E56C1E">
        <w:rPr>
          <w:szCs w:val="20"/>
        </w:rPr>
        <w:t xml:space="preserve">, 2 </w:t>
      </w:r>
      <w:r w:rsidR="005A0222">
        <w:rPr>
          <w:szCs w:val="20"/>
        </w:rPr>
        <w:t>E</w:t>
      </w:r>
      <w:r w:rsidRPr="00E56C1E">
        <w:rPr>
          <w:smallCaps/>
          <w:szCs w:val="20"/>
        </w:rPr>
        <w:t xml:space="preserve">asta </w:t>
      </w:r>
      <w:r w:rsidR="005A0222">
        <w:rPr>
          <w:smallCaps/>
          <w:szCs w:val="20"/>
        </w:rPr>
        <w:t>J. L.</w:t>
      </w:r>
      <w:r w:rsidRPr="00E56C1E">
        <w:rPr>
          <w:smallCaps/>
          <w:szCs w:val="20"/>
        </w:rPr>
        <w:t xml:space="preserve"> &amp; Hum. </w:t>
      </w:r>
      <w:proofErr w:type="spellStart"/>
      <w:r w:rsidRPr="00E56C1E">
        <w:rPr>
          <w:smallCaps/>
          <w:szCs w:val="20"/>
        </w:rPr>
        <w:t>Rts</w:t>
      </w:r>
      <w:proofErr w:type="spellEnd"/>
      <w:r w:rsidRPr="00E56C1E">
        <w:rPr>
          <w:smallCaps/>
          <w:szCs w:val="20"/>
        </w:rPr>
        <w:t>.</w:t>
      </w:r>
      <w:r w:rsidRPr="00E56C1E">
        <w:rPr>
          <w:szCs w:val="20"/>
        </w:rPr>
        <w:t xml:space="preserve"> 176, 178 (2024).</w:t>
      </w:r>
    </w:p>
  </w:footnote>
  <w:footnote w:id="39">
    <w:p w14:paraId="213422E5"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40">
    <w:p w14:paraId="1EC78E6D"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Berk, supra note 17, at 210.</w:t>
      </w:r>
    </w:p>
  </w:footnote>
  <w:footnote w:id="41">
    <w:p w14:paraId="4D51F8B7" w14:textId="77777777" w:rsidR="00E56C1E" w:rsidRPr="00E56C1E" w:rsidRDefault="00E56C1E" w:rsidP="00E56C1E">
      <w:pPr>
        <w:pStyle w:val="FootNote"/>
        <w:rPr>
          <w:szCs w:val="16"/>
        </w:rPr>
      </w:pPr>
      <w:r w:rsidRPr="00E56C1E">
        <w:tab/>
      </w:r>
      <w:r w:rsidRPr="00E56C1E">
        <w:rPr>
          <w:rStyle w:val="NoterefInNote"/>
        </w:rPr>
        <w:footnoteRef/>
      </w:r>
      <w:r w:rsidRPr="00E56C1E">
        <w:t>.</w:t>
      </w:r>
      <w:r w:rsidRPr="00E56C1E">
        <w:tab/>
      </w:r>
      <w:r w:rsidRPr="00E56C1E">
        <w:rPr>
          <w:szCs w:val="20"/>
        </w:rPr>
        <w:t xml:space="preserve"> </w:t>
      </w:r>
      <w:proofErr w:type="spellStart"/>
      <w:r w:rsidRPr="00E56C1E">
        <w:rPr>
          <w:szCs w:val="20"/>
        </w:rPr>
        <w:t>Zuwanda</w:t>
      </w:r>
      <w:proofErr w:type="spellEnd"/>
      <w:r w:rsidRPr="00E56C1E">
        <w:rPr>
          <w:szCs w:val="20"/>
        </w:rPr>
        <w:t xml:space="preserve"> Z. S. et al, </w:t>
      </w:r>
      <w:r w:rsidRPr="00E56C1E">
        <w:rPr>
          <w:i/>
          <w:szCs w:val="20"/>
        </w:rPr>
        <w:t>supra</w:t>
      </w:r>
      <w:r w:rsidRPr="00E56C1E">
        <w:rPr>
          <w:szCs w:val="20"/>
        </w:rPr>
        <w:t xml:space="preserve"> note 36.</w:t>
      </w:r>
    </w:p>
  </w:footnote>
  <w:footnote w:id="42">
    <w:p w14:paraId="3DE0208D" w14:textId="62BFAB79"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smallCaps/>
          <w:szCs w:val="20"/>
        </w:rPr>
        <w:t xml:space="preserve">Iee glob. Initiative on </w:t>
      </w:r>
      <w:r w:rsidR="005A0222">
        <w:rPr>
          <w:smallCaps/>
          <w:szCs w:val="20"/>
        </w:rPr>
        <w:t>E</w:t>
      </w:r>
      <w:r w:rsidRPr="00E56C1E">
        <w:rPr>
          <w:smallCaps/>
          <w:szCs w:val="20"/>
        </w:rPr>
        <w:t xml:space="preserve">thics of </w:t>
      </w:r>
      <w:r w:rsidR="005A0222">
        <w:rPr>
          <w:smallCaps/>
          <w:szCs w:val="20"/>
        </w:rPr>
        <w:t>A</w:t>
      </w:r>
      <w:r w:rsidRPr="00E56C1E">
        <w:rPr>
          <w:smallCaps/>
          <w:szCs w:val="20"/>
        </w:rPr>
        <w:t xml:space="preserve">utonomous &amp; </w:t>
      </w:r>
      <w:r w:rsidR="005A0222">
        <w:rPr>
          <w:smallCaps/>
          <w:szCs w:val="20"/>
        </w:rPr>
        <w:t>I</w:t>
      </w:r>
      <w:r w:rsidRPr="00E56C1E">
        <w:rPr>
          <w:smallCaps/>
          <w:szCs w:val="20"/>
        </w:rPr>
        <w:t xml:space="preserve">ntelligent sys., </w:t>
      </w:r>
      <w:r w:rsidR="005A0222">
        <w:rPr>
          <w:smallCaps/>
          <w:szCs w:val="20"/>
        </w:rPr>
        <w:t>E</w:t>
      </w:r>
      <w:r w:rsidRPr="00E56C1E">
        <w:rPr>
          <w:smallCaps/>
          <w:szCs w:val="20"/>
        </w:rPr>
        <w:t xml:space="preserve">thically </w:t>
      </w:r>
      <w:r w:rsidR="005A0222">
        <w:rPr>
          <w:smallCaps/>
          <w:szCs w:val="20"/>
        </w:rPr>
        <w:t>A</w:t>
      </w:r>
      <w:r w:rsidRPr="00E56C1E">
        <w:rPr>
          <w:smallCaps/>
          <w:szCs w:val="20"/>
        </w:rPr>
        <w:t xml:space="preserve">ligned </w:t>
      </w:r>
      <w:r w:rsidR="005A0222">
        <w:rPr>
          <w:smallCaps/>
          <w:szCs w:val="20"/>
        </w:rPr>
        <w:t>D</w:t>
      </w:r>
      <w:r w:rsidRPr="00E56C1E">
        <w:rPr>
          <w:smallCaps/>
          <w:szCs w:val="20"/>
        </w:rPr>
        <w:t xml:space="preserve">esigned: a </w:t>
      </w:r>
      <w:r w:rsidR="005A0222">
        <w:rPr>
          <w:smallCaps/>
          <w:szCs w:val="20"/>
        </w:rPr>
        <w:t>V</w:t>
      </w:r>
      <w:r w:rsidRPr="00E56C1E">
        <w:rPr>
          <w:smallCaps/>
          <w:szCs w:val="20"/>
        </w:rPr>
        <w:t xml:space="preserve">ision for </w:t>
      </w:r>
      <w:r w:rsidR="005A0222">
        <w:rPr>
          <w:smallCaps/>
          <w:szCs w:val="20"/>
        </w:rPr>
        <w:t>P</w:t>
      </w:r>
      <w:r w:rsidRPr="00E56C1E">
        <w:rPr>
          <w:smallCaps/>
          <w:szCs w:val="20"/>
        </w:rPr>
        <w:t xml:space="preserve">rioritizing </w:t>
      </w:r>
      <w:r w:rsidR="005A0222">
        <w:rPr>
          <w:smallCaps/>
          <w:szCs w:val="20"/>
        </w:rPr>
        <w:t>H</w:t>
      </w:r>
      <w:r w:rsidRPr="00E56C1E">
        <w:rPr>
          <w:smallCaps/>
          <w:szCs w:val="20"/>
        </w:rPr>
        <w:t xml:space="preserve">uman </w:t>
      </w:r>
      <w:r w:rsidR="005A0222">
        <w:rPr>
          <w:smallCaps/>
          <w:szCs w:val="20"/>
        </w:rPr>
        <w:t>W</w:t>
      </w:r>
      <w:r w:rsidRPr="00E56C1E">
        <w:rPr>
          <w:smallCaps/>
          <w:szCs w:val="20"/>
        </w:rPr>
        <w:t xml:space="preserve">ell-being with </w:t>
      </w:r>
      <w:r w:rsidR="005A0222">
        <w:rPr>
          <w:smallCaps/>
          <w:szCs w:val="20"/>
        </w:rPr>
        <w:t>A</w:t>
      </w:r>
      <w:r w:rsidRPr="00E56C1E">
        <w:rPr>
          <w:smallCaps/>
          <w:szCs w:val="20"/>
        </w:rPr>
        <w:t xml:space="preserve">utonomous and </w:t>
      </w:r>
      <w:r w:rsidR="005A0222">
        <w:rPr>
          <w:smallCaps/>
          <w:szCs w:val="20"/>
        </w:rPr>
        <w:t>I</w:t>
      </w:r>
      <w:r w:rsidRPr="00E56C1E">
        <w:rPr>
          <w:smallCaps/>
          <w:szCs w:val="20"/>
        </w:rPr>
        <w:t xml:space="preserve">ntelligent </w:t>
      </w:r>
      <w:r w:rsidR="005A0222">
        <w:rPr>
          <w:smallCaps/>
          <w:szCs w:val="20"/>
        </w:rPr>
        <w:t>S</w:t>
      </w:r>
      <w:r w:rsidRPr="00E56C1E">
        <w:rPr>
          <w:smallCaps/>
          <w:szCs w:val="20"/>
        </w:rPr>
        <w:t xml:space="preserve">ystems </w:t>
      </w:r>
      <w:r w:rsidRPr="00E56C1E">
        <w:rPr>
          <w:szCs w:val="20"/>
        </w:rPr>
        <w:t>(1st ed. 2019).</w:t>
      </w:r>
    </w:p>
  </w:footnote>
  <w:footnote w:id="43">
    <w:p w14:paraId="7D69867B"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r w:rsidRPr="00E56C1E">
        <w:rPr>
          <w:szCs w:val="20"/>
        </w:rPr>
        <w:t>at 10.</w:t>
      </w:r>
    </w:p>
  </w:footnote>
  <w:footnote w:id="44">
    <w:p w14:paraId="40225E35" w14:textId="23F1E63D"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smallCaps/>
          <w:szCs w:val="20"/>
        </w:rPr>
        <w:t xml:space="preserve">Future of </w:t>
      </w:r>
      <w:r w:rsidR="003C21B5">
        <w:rPr>
          <w:smallCaps/>
          <w:szCs w:val="20"/>
        </w:rPr>
        <w:t>L</w:t>
      </w:r>
      <w:r w:rsidRPr="00E56C1E">
        <w:rPr>
          <w:smallCaps/>
          <w:szCs w:val="20"/>
        </w:rPr>
        <w:t xml:space="preserve">ife </w:t>
      </w:r>
      <w:r w:rsidR="003C21B5">
        <w:rPr>
          <w:smallCaps/>
          <w:szCs w:val="20"/>
        </w:rPr>
        <w:t>I</w:t>
      </w:r>
      <w:r w:rsidRPr="00E56C1E">
        <w:rPr>
          <w:smallCaps/>
          <w:szCs w:val="20"/>
        </w:rPr>
        <w:t xml:space="preserve">nst., </w:t>
      </w:r>
      <w:r w:rsidR="003C21B5">
        <w:rPr>
          <w:smallCaps/>
          <w:szCs w:val="20"/>
        </w:rPr>
        <w:t>A</w:t>
      </w:r>
      <w:r w:rsidRPr="00E56C1E">
        <w:rPr>
          <w:smallCaps/>
          <w:szCs w:val="20"/>
        </w:rPr>
        <w:t xml:space="preserve">silomar ai </w:t>
      </w:r>
      <w:r w:rsidR="003C21B5">
        <w:rPr>
          <w:smallCaps/>
          <w:szCs w:val="20"/>
        </w:rPr>
        <w:t>P</w:t>
      </w:r>
      <w:r w:rsidRPr="00E56C1E">
        <w:rPr>
          <w:smallCaps/>
          <w:szCs w:val="20"/>
        </w:rPr>
        <w:t xml:space="preserve">rinciples </w:t>
      </w:r>
      <w:r w:rsidRPr="00E56C1E">
        <w:rPr>
          <w:szCs w:val="20"/>
        </w:rPr>
        <w:t>(2017).</w:t>
      </w:r>
    </w:p>
  </w:footnote>
  <w:footnote w:id="45">
    <w:p w14:paraId="53E13F8F"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46">
    <w:p w14:paraId="4B4B3EB0" w14:textId="1A1B144B" w:rsidR="00E56C1E" w:rsidRPr="00E56C1E" w:rsidRDefault="00E56C1E" w:rsidP="00E56C1E">
      <w:pPr>
        <w:pStyle w:val="FootNote"/>
        <w:rPr>
          <w:szCs w:val="16"/>
        </w:rPr>
      </w:pPr>
      <w:r w:rsidRPr="00E56C1E">
        <w:tab/>
      </w:r>
      <w:r w:rsidRPr="00E56C1E">
        <w:rPr>
          <w:rStyle w:val="NoterefInNote"/>
        </w:rPr>
        <w:footnoteRef/>
      </w:r>
      <w:r w:rsidRPr="00E56C1E">
        <w:t>.</w:t>
      </w:r>
      <w:r w:rsidRPr="00E56C1E">
        <w:tab/>
      </w:r>
      <w:r w:rsidRPr="00E56C1E">
        <w:rPr>
          <w:szCs w:val="20"/>
        </w:rPr>
        <w:t xml:space="preserve"> </w:t>
      </w:r>
      <w:r w:rsidR="003C21B5">
        <w:rPr>
          <w:szCs w:val="20"/>
        </w:rPr>
        <w:t xml:space="preserve">Council Regulation 2016/679 of Apr. 27, 2016, On the Protection of Natural Persons </w:t>
      </w:r>
      <w:proofErr w:type="gramStart"/>
      <w:r w:rsidR="003C21B5">
        <w:rPr>
          <w:szCs w:val="20"/>
        </w:rPr>
        <w:t>with Regard to</w:t>
      </w:r>
      <w:proofErr w:type="gramEnd"/>
      <w:r w:rsidR="003C21B5">
        <w:rPr>
          <w:szCs w:val="20"/>
        </w:rPr>
        <w:t xml:space="preserve"> the Processing of Personal Data and on the Free Movement of Such Data, and Repealing Directive 95/46/EC (General Data Protection Regulation), 2016 J.O. (L 119) (</w:t>
      </w:r>
      <w:r w:rsidR="003C21B5">
        <w:rPr>
          <w:i/>
          <w:iCs/>
          <w:szCs w:val="20"/>
        </w:rPr>
        <w:t xml:space="preserve">hereinafter </w:t>
      </w:r>
      <w:r w:rsidR="003C21B5">
        <w:rPr>
          <w:szCs w:val="20"/>
        </w:rPr>
        <w:t xml:space="preserve">“General Data Protection Regulation”). </w:t>
      </w:r>
    </w:p>
  </w:footnote>
  <w:footnote w:id="47">
    <w:p w14:paraId="26C49E21"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Hung &amp; Yen, </w:t>
      </w:r>
      <w:r w:rsidRPr="00E56C1E">
        <w:rPr>
          <w:i/>
          <w:szCs w:val="20"/>
        </w:rPr>
        <w:t xml:space="preserve">supra </w:t>
      </w:r>
      <w:r w:rsidRPr="00E56C1E">
        <w:rPr>
          <w:szCs w:val="20"/>
        </w:rPr>
        <w:t>note 33 at 178.</w:t>
      </w:r>
    </w:p>
  </w:footnote>
  <w:footnote w:id="48">
    <w:p w14:paraId="421152D0"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49">
    <w:p w14:paraId="6CAD361C" w14:textId="4A61E702" w:rsidR="00E56C1E" w:rsidRPr="00E56C1E" w:rsidRDefault="00E56C1E" w:rsidP="00E56C1E">
      <w:pPr>
        <w:pStyle w:val="FootNote"/>
        <w:rPr>
          <w:szCs w:val="16"/>
        </w:rPr>
      </w:pPr>
      <w:r w:rsidRPr="00E56C1E">
        <w:tab/>
      </w:r>
      <w:r w:rsidRPr="00E56C1E">
        <w:rPr>
          <w:rStyle w:val="NoterefInNote"/>
        </w:rPr>
        <w:footnoteRef/>
      </w:r>
      <w:r w:rsidRPr="00E56C1E">
        <w:t>.</w:t>
      </w:r>
      <w:r w:rsidRPr="00E56C1E">
        <w:tab/>
      </w:r>
      <w:r w:rsidRPr="00E56C1E">
        <w:rPr>
          <w:szCs w:val="20"/>
        </w:rPr>
        <w:t xml:space="preserve"> </w:t>
      </w:r>
      <w:r w:rsidR="007A1C90" w:rsidRPr="0050307F">
        <w:rPr>
          <w:smallCaps/>
          <w:szCs w:val="20"/>
        </w:rPr>
        <w:t xml:space="preserve">United Nations High-level Advisory Body on Artificial Intelligence, </w:t>
      </w:r>
      <w:r w:rsidRPr="0050307F">
        <w:rPr>
          <w:smallCaps/>
          <w:szCs w:val="20"/>
        </w:rPr>
        <w:t>Governing A</w:t>
      </w:r>
      <w:r w:rsidR="007A1C90" w:rsidRPr="0050307F">
        <w:rPr>
          <w:smallCaps/>
          <w:szCs w:val="20"/>
        </w:rPr>
        <w:t>I</w:t>
      </w:r>
      <w:r w:rsidRPr="0050307F">
        <w:rPr>
          <w:smallCaps/>
          <w:szCs w:val="20"/>
        </w:rPr>
        <w:t xml:space="preserve"> for Humanity</w:t>
      </w:r>
      <w:r w:rsidR="007A1C90">
        <w:rPr>
          <w:smallCaps/>
          <w:szCs w:val="20"/>
        </w:rPr>
        <w:t>: Final Report</w:t>
      </w:r>
      <w:r w:rsidR="007A1C90">
        <w:rPr>
          <w:szCs w:val="20"/>
        </w:rPr>
        <w:t xml:space="preserve"> (Sept. 2024), </w:t>
      </w:r>
      <w:r w:rsidR="007A1C90">
        <w:rPr>
          <w:i/>
          <w:iCs/>
          <w:szCs w:val="20"/>
        </w:rPr>
        <w:t xml:space="preserve">available at: </w:t>
      </w:r>
      <w:r w:rsidR="00E72B7E" w:rsidRPr="007615B9">
        <w:t>https://www.un.org/en/ai-advisory-body/about</w:t>
      </w:r>
      <w:r w:rsidR="00E72B7E">
        <w:t xml:space="preserve"> [</w:t>
      </w:r>
      <w:r w:rsidR="000507B6" w:rsidRPr="000507B6">
        <w:t>https://perma.cc/JW3T-X3JB</w:t>
      </w:r>
      <w:r w:rsidR="00E72B7E">
        <w:t>]</w:t>
      </w:r>
      <w:r w:rsidRPr="00E56C1E">
        <w:rPr>
          <w:szCs w:val="20"/>
        </w:rPr>
        <w:t>.</w:t>
      </w:r>
    </w:p>
  </w:footnote>
  <w:footnote w:id="50">
    <w:p w14:paraId="64CB559A" w14:textId="77777777" w:rsidR="00E56C1E" w:rsidRPr="00E56C1E" w:rsidRDefault="00E56C1E" w:rsidP="00E56C1E">
      <w:pPr>
        <w:pStyle w:val="FootNote"/>
        <w:rPr>
          <w:i/>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p>
  </w:footnote>
  <w:footnote w:id="51">
    <w:p w14:paraId="436009DC" w14:textId="77777777" w:rsidR="00E56C1E" w:rsidRPr="00E56C1E" w:rsidRDefault="00E56C1E" w:rsidP="00E56C1E">
      <w:pPr>
        <w:pStyle w:val="FootNote"/>
        <w:rPr>
          <w:szCs w:val="16"/>
        </w:rPr>
      </w:pPr>
      <w:r w:rsidRPr="00E56C1E">
        <w:rPr>
          <w:szCs w:val="16"/>
        </w:rPr>
        <w:tab/>
      </w:r>
      <w:r w:rsidRPr="00E56C1E">
        <w:rPr>
          <w:rStyle w:val="NoterefInNote"/>
        </w:rPr>
        <w:footnoteRef/>
      </w:r>
      <w:r w:rsidRPr="00E56C1E">
        <w:rPr>
          <w:szCs w:val="16"/>
        </w:rPr>
        <w:t>.</w:t>
      </w:r>
      <w:r w:rsidRPr="00E56C1E">
        <w:rPr>
          <w:szCs w:val="16"/>
        </w:rPr>
        <w:tab/>
        <w:t xml:space="preserve"> </w:t>
      </w:r>
      <w:r w:rsidRPr="00E56C1E">
        <w:rPr>
          <w:i/>
          <w:szCs w:val="20"/>
        </w:rPr>
        <w:t>General Data Protection Regulation</w:t>
      </w:r>
      <w:r w:rsidRPr="00E56C1E">
        <w:rPr>
          <w:szCs w:val="20"/>
        </w:rPr>
        <w:t xml:space="preserve">, </w:t>
      </w:r>
      <w:r w:rsidRPr="00E56C1E">
        <w:rPr>
          <w:i/>
          <w:szCs w:val="20"/>
        </w:rPr>
        <w:t>supra</w:t>
      </w:r>
      <w:r w:rsidRPr="00E56C1E">
        <w:rPr>
          <w:szCs w:val="20"/>
        </w:rPr>
        <w:t xml:space="preserve"> note 44. </w:t>
      </w:r>
    </w:p>
  </w:footnote>
  <w:footnote w:id="52">
    <w:p w14:paraId="68889EAF"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53">
    <w:p w14:paraId="2EF4C868" w14:textId="5603708F" w:rsidR="00E56C1E" w:rsidRPr="00E56C1E" w:rsidRDefault="00E56C1E" w:rsidP="00E56C1E">
      <w:pPr>
        <w:pStyle w:val="FootNote"/>
        <w:rPr>
          <w:szCs w:val="16"/>
        </w:rPr>
      </w:pPr>
      <w:r w:rsidRPr="00E56C1E">
        <w:rPr>
          <w:szCs w:val="16"/>
        </w:rPr>
        <w:tab/>
      </w:r>
      <w:r w:rsidRPr="00E56C1E">
        <w:rPr>
          <w:rStyle w:val="NoterefInNote"/>
        </w:rPr>
        <w:footnoteRef/>
      </w:r>
      <w:r w:rsidRPr="00E56C1E">
        <w:rPr>
          <w:szCs w:val="16"/>
        </w:rPr>
        <w:t>.</w:t>
      </w:r>
      <w:r w:rsidRPr="00E56C1E">
        <w:rPr>
          <w:szCs w:val="16"/>
        </w:rPr>
        <w:tab/>
        <w:t xml:space="preserve"> </w:t>
      </w:r>
      <w:proofErr w:type="spellStart"/>
      <w:r w:rsidRPr="00E56C1E">
        <w:rPr>
          <w:szCs w:val="20"/>
        </w:rPr>
        <w:t>Zuwanda</w:t>
      </w:r>
      <w:proofErr w:type="spellEnd"/>
      <w:r w:rsidRPr="00E56C1E">
        <w:rPr>
          <w:szCs w:val="20"/>
        </w:rPr>
        <w:t xml:space="preserve"> Z. S. et al, </w:t>
      </w:r>
      <w:r w:rsidRPr="00E56C1E">
        <w:rPr>
          <w:i/>
          <w:szCs w:val="20"/>
        </w:rPr>
        <w:t xml:space="preserve">supra </w:t>
      </w:r>
      <w:r w:rsidRPr="00E56C1E">
        <w:rPr>
          <w:szCs w:val="20"/>
        </w:rPr>
        <w:t>note 36</w:t>
      </w:r>
      <w:r w:rsidR="003C21B5">
        <w:rPr>
          <w:szCs w:val="20"/>
        </w:rPr>
        <w:t>,</w:t>
      </w:r>
      <w:r w:rsidRPr="00E56C1E">
        <w:rPr>
          <w:szCs w:val="20"/>
        </w:rPr>
        <w:t xml:space="preserve"> at 178.</w:t>
      </w:r>
    </w:p>
  </w:footnote>
  <w:footnote w:id="54">
    <w:p w14:paraId="2FCA5F75"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Kristian Lum &amp; William Isaac, </w:t>
      </w:r>
      <w:r w:rsidRPr="00E56C1E">
        <w:rPr>
          <w:i/>
          <w:szCs w:val="20"/>
        </w:rPr>
        <w:t xml:space="preserve">To Predict and </w:t>
      </w:r>
      <w:proofErr w:type="gramStart"/>
      <w:r w:rsidRPr="00E56C1E">
        <w:rPr>
          <w:i/>
          <w:szCs w:val="20"/>
        </w:rPr>
        <w:t>Serve?</w:t>
      </w:r>
      <w:r w:rsidRPr="00E56C1E">
        <w:rPr>
          <w:szCs w:val="20"/>
        </w:rPr>
        <w:t>,</w:t>
      </w:r>
      <w:proofErr w:type="gramEnd"/>
      <w:r w:rsidRPr="00E56C1E">
        <w:rPr>
          <w:szCs w:val="20"/>
        </w:rPr>
        <w:t xml:space="preserve"> 13 </w:t>
      </w:r>
      <w:r w:rsidRPr="00E56C1E">
        <w:rPr>
          <w:smallCaps/>
          <w:szCs w:val="20"/>
        </w:rPr>
        <w:t>Significance</w:t>
      </w:r>
      <w:r w:rsidRPr="00E56C1E">
        <w:rPr>
          <w:szCs w:val="20"/>
        </w:rPr>
        <w:t xml:space="preserve"> 14, 16 (2016).</w:t>
      </w:r>
    </w:p>
  </w:footnote>
  <w:footnote w:id="55">
    <w:p w14:paraId="0A5D1F6E"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Perry, </w:t>
      </w:r>
      <w:r w:rsidRPr="00E56C1E">
        <w:rPr>
          <w:i/>
          <w:szCs w:val="20"/>
        </w:rPr>
        <w:t>supra</w:t>
      </w:r>
      <w:r w:rsidRPr="00E56C1E">
        <w:rPr>
          <w:szCs w:val="20"/>
        </w:rPr>
        <w:t xml:space="preserve"> note 4.</w:t>
      </w:r>
    </w:p>
  </w:footnote>
  <w:footnote w:id="56">
    <w:p w14:paraId="732DADFE" w14:textId="6726317E" w:rsidR="00E56C1E" w:rsidRPr="00E56C1E" w:rsidRDefault="00E56C1E" w:rsidP="00E56C1E">
      <w:pPr>
        <w:pStyle w:val="FootNote"/>
        <w:rPr>
          <w:szCs w:val="16"/>
        </w:rPr>
      </w:pPr>
      <w:r w:rsidRPr="00E56C1E">
        <w:rPr>
          <w:szCs w:val="16"/>
        </w:rPr>
        <w:tab/>
      </w:r>
      <w:r w:rsidRPr="00E56C1E">
        <w:rPr>
          <w:rStyle w:val="NoterefInNote"/>
        </w:rPr>
        <w:footnoteRef/>
      </w:r>
      <w:r w:rsidRPr="00E56C1E">
        <w:rPr>
          <w:szCs w:val="16"/>
        </w:rPr>
        <w:t>.</w:t>
      </w:r>
      <w:r w:rsidRPr="00E56C1E">
        <w:rPr>
          <w:szCs w:val="16"/>
        </w:rPr>
        <w:tab/>
        <w:t xml:space="preserve"> </w:t>
      </w:r>
      <w:r w:rsidRPr="00E56C1E">
        <w:rPr>
          <w:szCs w:val="20"/>
        </w:rPr>
        <w:t xml:space="preserve">Shapiro, </w:t>
      </w:r>
      <w:r w:rsidR="003C21B5">
        <w:rPr>
          <w:i/>
          <w:iCs/>
          <w:szCs w:val="20"/>
        </w:rPr>
        <w:t xml:space="preserve">supra </w:t>
      </w:r>
      <w:r w:rsidR="003C21B5">
        <w:rPr>
          <w:szCs w:val="20"/>
        </w:rPr>
        <w:t>note 20</w:t>
      </w:r>
      <w:r w:rsidRPr="00E56C1E">
        <w:rPr>
          <w:szCs w:val="20"/>
        </w:rPr>
        <w:t xml:space="preserve">, </w:t>
      </w:r>
      <w:r w:rsidR="003C21B5">
        <w:rPr>
          <w:szCs w:val="20"/>
        </w:rPr>
        <w:t xml:space="preserve">at </w:t>
      </w:r>
      <w:r w:rsidRPr="00E56C1E">
        <w:rPr>
          <w:szCs w:val="20"/>
        </w:rPr>
        <w:t>459.</w:t>
      </w:r>
    </w:p>
  </w:footnote>
  <w:footnote w:id="57">
    <w:p w14:paraId="09A97BBC" w14:textId="1AC8A8F3"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Ibrahim Raji &amp; Damilola Bartholomew </w:t>
      </w:r>
      <w:proofErr w:type="spellStart"/>
      <w:r w:rsidRPr="00E56C1E">
        <w:rPr>
          <w:szCs w:val="20"/>
        </w:rPr>
        <w:t>Sholademi</w:t>
      </w:r>
      <w:proofErr w:type="spellEnd"/>
      <w:r w:rsidRPr="00E56C1E">
        <w:rPr>
          <w:szCs w:val="20"/>
        </w:rPr>
        <w:t xml:space="preserve">, </w:t>
      </w:r>
      <w:r w:rsidRPr="00E56C1E">
        <w:rPr>
          <w:i/>
          <w:szCs w:val="20"/>
        </w:rPr>
        <w:t>Predictive Policing: The Role of AI in Crime Prevention</w:t>
      </w:r>
      <w:r w:rsidRPr="00E56C1E">
        <w:rPr>
          <w:szCs w:val="20"/>
        </w:rPr>
        <w:t xml:space="preserve">, 13 </w:t>
      </w:r>
      <w:r w:rsidRPr="0050307F">
        <w:rPr>
          <w:smallCaps/>
          <w:szCs w:val="20"/>
        </w:rPr>
        <w:t>Int’l J. Computer Applications Tech. &amp; Res.</w:t>
      </w:r>
      <w:r w:rsidRPr="00E56C1E">
        <w:rPr>
          <w:szCs w:val="20"/>
        </w:rPr>
        <w:t xml:space="preserve"> 66,</w:t>
      </w:r>
      <w:r w:rsidR="007A1C90">
        <w:rPr>
          <w:szCs w:val="20"/>
        </w:rPr>
        <w:t xml:space="preserve"> </w:t>
      </w:r>
      <w:r w:rsidRPr="00E56C1E">
        <w:rPr>
          <w:szCs w:val="20"/>
        </w:rPr>
        <w:t>68 (2024).</w:t>
      </w:r>
    </w:p>
  </w:footnote>
  <w:footnote w:id="58">
    <w:p w14:paraId="5E21B5BE"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59">
    <w:p w14:paraId="552C9BD0"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60">
    <w:p w14:paraId="536FAE91"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61">
    <w:p w14:paraId="0E76CFAE"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62">
    <w:p w14:paraId="61C8CE88"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63">
    <w:p w14:paraId="38DE94B6"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64">
    <w:p w14:paraId="0CBDFFE6" w14:textId="6879217F" w:rsidR="00E56C1E" w:rsidRPr="00E56C1E" w:rsidRDefault="00E56C1E" w:rsidP="00E56C1E">
      <w:pPr>
        <w:pStyle w:val="FootNote"/>
        <w:rPr>
          <w:i/>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See also </w:t>
      </w:r>
      <w:r w:rsidRPr="00E56C1E">
        <w:rPr>
          <w:szCs w:val="20"/>
        </w:rPr>
        <w:t>Hung &amp; Yen</w:t>
      </w:r>
      <w:r w:rsidR="007A1C90">
        <w:rPr>
          <w:szCs w:val="20"/>
        </w:rPr>
        <w:t xml:space="preserve">, </w:t>
      </w:r>
      <w:r w:rsidR="007A1C90">
        <w:rPr>
          <w:i/>
          <w:iCs/>
          <w:szCs w:val="20"/>
        </w:rPr>
        <w:t xml:space="preserve">supra </w:t>
      </w:r>
      <w:r w:rsidR="007A1C90">
        <w:rPr>
          <w:szCs w:val="20"/>
        </w:rPr>
        <w:t>note 33</w:t>
      </w:r>
      <w:r w:rsidRPr="00E56C1E">
        <w:rPr>
          <w:szCs w:val="20"/>
        </w:rPr>
        <w:t>.</w:t>
      </w:r>
    </w:p>
  </w:footnote>
  <w:footnote w:id="65">
    <w:p w14:paraId="496FBB15"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66">
    <w:p w14:paraId="00DC694F"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67">
    <w:p w14:paraId="4C1D6B80" w14:textId="549CFDF3" w:rsidR="00E56C1E" w:rsidRPr="00E56C1E" w:rsidRDefault="00E56C1E" w:rsidP="00E56C1E">
      <w:pPr>
        <w:pStyle w:val="FootNote"/>
        <w:rPr>
          <w:i/>
        </w:rPr>
      </w:pPr>
      <w:r w:rsidRPr="00E56C1E">
        <w:tab/>
      </w:r>
      <w:r w:rsidRPr="00E56C1E">
        <w:rPr>
          <w:rStyle w:val="NoterefInNote"/>
        </w:rPr>
        <w:footnoteRef/>
      </w:r>
      <w:r w:rsidRPr="00E56C1E">
        <w:t>.</w:t>
      </w:r>
      <w:r w:rsidRPr="00E56C1E">
        <w:tab/>
      </w:r>
      <w:r w:rsidR="007A1C90">
        <w:t xml:space="preserve"> </w:t>
      </w:r>
      <w:r w:rsidRPr="00E56C1E">
        <w:rPr>
          <w:szCs w:val="20"/>
        </w:rPr>
        <w:t>Lum</w:t>
      </w:r>
      <w:r w:rsidR="007A1C90">
        <w:rPr>
          <w:szCs w:val="20"/>
        </w:rPr>
        <w:t xml:space="preserve"> &amp; Isaac</w:t>
      </w:r>
      <w:r w:rsidRPr="00E56C1E">
        <w:rPr>
          <w:szCs w:val="20"/>
        </w:rPr>
        <w:t xml:space="preserve">, </w:t>
      </w:r>
      <w:r w:rsidRPr="00E56C1E">
        <w:rPr>
          <w:i/>
          <w:szCs w:val="20"/>
        </w:rPr>
        <w:t xml:space="preserve">supra </w:t>
      </w:r>
      <w:r w:rsidRPr="00E56C1E">
        <w:rPr>
          <w:szCs w:val="20"/>
        </w:rPr>
        <w:t>note 52</w:t>
      </w:r>
      <w:r w:rsidR="007A1C90">
        <w:rPr>
          <w:szCs w:val="20"/>
        </w:rPr>
        <w:t>,</w:t>
      </w:r>
      <w:r w:rsidRPr="00E56C1E">
        <w:rPr>
          <w:szCs w:val="20"/>
        </w:rPr>
        <w:t xml:space="preserve"> at 16.</w:t>
      </w:r>
    </w:p>
  </w:footnote>
  <w:footnote w:id="68">
    <w:p w14:paraId="4BCC5359"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r w:rsidRPr="00E56C1E">
        <w:rPr>
          <w:szCs w:val="20"/>
        </w:rPr>
        <w:t>at 19.</w:t>
      </w:r>
    </w:p>
  </w:footnote>
  <w:footnote w:id="69">
    <w:p w14:paraId="58CDC0D3"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Raji &amp; </w:t>
      </w:r>
      <w:proofErr w:type="spellStart"/>
      <w:r w:rsidRPr="00E56C1E">
        <w:rPr>
          <w:szCs w:val="20"/>
        </w:rPr>
        <w:t>Sholademi</w:t>
      </w:r>
      <w:proofErr w:type="spellEnd"/>
      <w:r w:rsidRPr="00E56C1E">
        <w:rPr>
          <w:szCs w:val="20"/>
        </w:rPr>
        <w:t xml:space="preserve">, </w:t>
      </w:r>
      <w:r w:rsidRPr="00E56C1E">
        <w:rPr>
          <w:i/>
          <w:szCs w:val="20"/>
        </w:rPr>
        <w:t xml:space="preserve">supra </w:t>
      </w:r>
      <w:r w:rsidRPr="00E56C1E">
        <w:rPr>
          <w:szCs w:val="20"/>
        </w:rPr>
        <w:t>note 55.</w:t>
      </w:r>
    </w:p>
  </w:footnote>
  <w:footnote w:id="70">
    <w:p w14:paraId="7C810E1D"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71">
    <w:p w14:paraId="567335A3"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F86E37">
        <w:rPr>
          <w:smallCaps/>
          <w:szCs w:val="20"/>
        </w:rPr>
        <w:t>Andrew Guthrie Ferguson</w:t>
      </w:r>
      <w:r w:rsidRPr="00E56C1E">
        <w:rPr>
          <w:szCs w:val="20"/>
        </w:rPr>
        <w:t xml:space="preserve">, </w:t>
      </w:r>
      <w:r w:rsidRPr="00E56C1E">
        <w:rPr>
          <w:smallCaps/>
          <w:szCs w:val="20"/>
        </w:rPr>
        <w:t>The Rise of Big Data Policing: Surveillance, Race, and the Future of Law Enforcement</w:t>
      </w:r>
      <w:r w:rsidRPr="00E56C1E">
        <w:rPr>
          <w:szCs w:val="20"/>
        </w:rPr>
        <w:t xml:space="preserve"> 75 (N.Y.U. Press 2017). </w:t>
      </w:r>
    </w:p>
  </w:footnote>
  <w:footnote w:id="72">
    <w:p w14:paraId="3DF9E515"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73">
    <w:p w14:paraId="3BFF30EF"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74">
    <w:p w14:paraId="605BD3BC" w14:textId="77777777" w:rsidR="00E56C1E" w:rsidRPr="00E56C1E" w:rsidRDefault="00E56C1E" w:rsidP="00E56C1E">
      <w:pPr>
        <w:pStyle w:val="FootNote"/>
        <w:rPr>
          <w:szCs w:val="18"/>
        </w:rPr>
      </w:pPr>
      <w:r w:rsidRPr="00E56C1E">
        <w:rPr>
          <w:szCs w:val="16"/>
        </w:rPr>
        <w:tab/>
      </w:r>
      <w:r w:rsidRPr="00E56C1E">
        <w:rPr>
          <w:rStyle w:val="NoterefInNote"/>
        </w:rPr>
        <w:footnoteRef/>
      </w:r>
      <w:r w:rsidRPr="00E56C1E">
        <w:rPr>
          <w:szCs w:val="16"/>
        </w:rPr>
        <w:t>.</w:t>
      </w:r>
      <w:r w:rsidRPr="00E56C1E">
        <w:rPr>
          <w:szCs w:val="16"/>
        </w:rPr>
        <w:tab/>
        <w:t xml:space="preserve"> </w:t>
      </w:r>
      <w:r w:rsidRPr="00E56C1E">
        <w:rPr>
          <w:szCs w:val="20"/>
        </w:rPr>
        <w:t xml:space="preserve">David Weisburd, Michael Davis &amp; Charlotte Gill, </w:t>
      </w:r>
      <w:r w:rsidRPr="00E56C1E">
        <w:rPr>
          <w:i/>
          <w:szCs w:val="20"/>
        </w:rPr>
        <w:t xml:space="preserve">Increasing Collective Efficacy and Social </w:t>
      </w:r>
      <w:r w:rsidRPr="00E56C1E">
        <w:rPr>
          <w:i/>
        </w:rPr>
        <w:t>Capital at Crime Hot Spots: New Crime Control Tools for Police</w:t>
      </w:r>
      <w:r w:rsidRPr="00E56C1E">
        <w:t xml:space="preserve">, 15 </w:t>
      </w:r>
      <w:r w:rsidRPr="00E56C1E">
        <w:rPr>
          <w:smallCaps/>
        </w:rPr>
        <w:t>Policing</w:t>
      </w:r>
      <w:r w:rsidRPr="00E56C1E">
        <w:t xml:space="preserve"> 486, 266 (2021).</w:t>
      </w:r>
    </w:p>
  </w:footnote>
  <w:footnote w:id="75">
    <w:p w14:paraId="7D664CDD"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r w:rsidRPr="00E56C1E">
        <w:rPr>
          <w:szCs w:val="24"/>
        </w:rPr>
        <w:t>.</w:t>
      </w:r>
    </w:p>
  </w:footnote>
  <w:footnote w:id="76">
    <w:p w14:paraId="14A9AAEF"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77">
    <w:p w14:paraId="1EC70C5B"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78">
    <w:p w14:paraId="16BF12AF"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79">
    <w:p w14:paraId="3329E280"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r w:rsidRPr="00E56C1E">
        <w:rPr>
          <w:szCs w:val="20"/>
        </w:rPr>
        <w:t xml:space="preserve"> at 268.</w:t>
      </w:r>
    </w:p>
  </w:footnote>
  <w:footnote w:id="80">
    <w:p w14:paraId="5C8D4C8B"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81">
    <w:p w14:paraId="5FC2CD8D" w14:textId="77777777" w:rsidR="00E56C1E" w:rsidRPr="00E56C1E" w:rsidRDefault="00E56C1E" w:rsidP="00E56C1E">
      <w:pPr>
        <w:pStyle w:val="FootNote"/>
      </w:pPr>
      <w:r w:rsidRPr="00E56C1E">
        <w:rPr>
          <w:szCs w:val="16"/>
        </w:rPr>
        <w:tab/>
      </w:r>
      <w:r w:rsidRPr="00E56C1E">
        <w:rPr>
          <w:rStyle w:val="NoterefInNote"/>
        </w:rPr>
        <w:footnoteRef/>
      </w:r>
      <w:r w:rsidRPr="00E56C1E">
        <w:rPr>
          <w:szCs w:val="16"/>
        </w:rPr>
        <w:t>.</w:t>
      </w:r>
      <w:r w:rsidRPr="00E56C1E">
        <w:rPr>
          <w:szCs w:val="16"/>
        </w:rPr>
        <w:tab/>
        <w:t xml:space="preserve"> </w:t>
      </w:r>
      <w:r w:rsidRPr="00E56C1E">
        <w:rPr>
          <w:i/>
          <w:szCs w:val="20"/>
        </w:rPr>
        <w:t>Id.</w:t>
      </w:r>
    </w:p>
  </w:footnote>
  <w:footnote w:id="82">
    <w:p w14:paraId="7A90A314" w14:textId="62039A68"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Raji &amp;</w:t>
      </w:r>
      <w:r w:rsidR="007A1C90">
        <w:rPr>
          <w:szCs w:val="20"/>
        </w:rPr>
        <w:t xml:space="preserve"> </w:t>
      </w:r>
      <w:proofErr w:type="spellStart"/>
      <w:r w:rsidRPr="00E56C1E">
        <w:rPr>
          <w:szCs w:val="20"/>
        </w:rPr>
        <w:t>Sholademi</w:t>
      </w:r>
      <w:proofErr w:type="spellEnd"/>
      <w:r w:rsidRPr="00E56C1E">
        <w:rPr>
          <w:szCs w:val="20"/>
        </w:rPr>
        <w:t xml:space="preserve">, </w:t>
      </w:r>
      <w:r w:rsidRPr="00E56C1E">
        <w:rPr>
          <w:i/>
          <w:szCs w:val="20"/>
        </w:rPr>
        <w:t xml:space="preserve">supra </w:t>
      </w:r>
      <w:r w:rsidRPr="00E56C1E">
        <w:rPr>
          <w:szCs w:val="20"/>
        </w:rPr>
        <w:t>note 55.</w:t>
      </w:r>
    </w:p>
  </w:footnote>
  <w:footnote w:id="83">
    <w:p w14:paraId="72A285E9"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Cal. Civ. Code § 1798.110 (2018).</w:t>
      </w:r>
    </w:p>
  </w:footnote>
  <w:footnote w:id="84">
    <w:p w14:paraId="78C5D7A4"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85">
    <w:p w14:paraId="6C39B653"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Elizabeth E. Joh, </w:t>
      </w:r>
      <w:r w:rsidRPr="00E56C1E">
        <w:rPr>
          <w:i/>
          <w:szCs w:val="20"/>
        </w:rPr>
        <w:t>Policing by Numbers: Big Data and the Fourth Amendment</w:t>
      </w:r>
      <w:r w:rsidRPr="00E56C1E">
        <w:rPr>
          <w:szCs w:val="20"/>
        </w:rPr>
        <w:t xml:space="preserve">, 89, 56 </w:t>
      </w:r>
      <w:r w:rsidRPr="00E56C1E">
        <w:rPr>
          <w:smallCaps/>
          <w:szCs w:val="20"/>
        </w:rPr>
        <w:t xml:space="preserve">Wash. L. Rev. </w:t>
      </w:r>
      <w:r w:rsidRPr="00E56C1E">
        <w:rPr>
          <w:szCs w:val="20"/>
        </w:rPr>
        <w:t xml:space="preserve">35 (March 2014). </w:t>
      </w:r>
    </w:p>
  </w:footnote>
  <w:footnote w:id="86">
    <w:p w14:paraId="5F8C95F7"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r w:rsidRPr="00E56C1E">
        <w:rPr>
          <w:szCs w:val="20"/>
        </w:rPr>
        <w:t>at 63.</w:t>
      </w:r>
    </w:p>
  </w:footnote>
  <w:footnote w:id="87">
    <w:p w14:paraId="5E134315"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88">
    <w:p w14:paraId="4A785DB0" w14:textId="4C12D4BF"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Kristin Houser, </w:t>
      </w:r>
      <w:r w:rsidRPr="00E56C1E">
        <w:rPr>
          <w:i/>
          <w:szCs w:val="20"/>
        </w:rPr>
        <w:t>China</w:t>
      </w:r>
      <w:r>
        <w:rPr>
          <w:i/>
          <w:szCs w:val="20"/>
        </w:rPr>
        <w:t>’</w:t>
      </w:r>
      <w:r w:rsidRPr="00E56C1E">
        <w:rPr>
          <w:i/>
          <w:szCs w:val="20"/>
        </w:rPr>
        <w:t xml:space="preserve">s </w:t>
      </w:r>
      <w:r>
        <w:rPr>
          <w:i/>
          <w:szCs w:val="20"/>
        </w:rPr>
        <w:t>“</w:t>
      </w:r>
      <w:r w:rsidRPr="00E56C1E">
        <w:rPr>
          <w:i/>
          <w:szCs w:val="20"/>
        </w:rPr>
        <w:t>Minority Report</w:t>
      </w:r>
      <w:r>
        <w:rPr>
          <w:i/>
          <w:szCs w:val="20"/>
        </w:rPr>
        <w:t>”</w:t>
      </w:r>
      <w:r w:rsidRPr="00E56C1E">
        <w:rPr>
          <w:i/>
          <w:szCs w:val="20"/>
        </w:rPr>
        <w:t xml:space="preserve"> Style Plans Will Use AI to Predict Who Will Commit Crimes,</w:t>
      </w:r>
      <w:r w:rsidRPr="00E56C1E">
        <w:rPr>
          <w:szCs w:val="20"/>
        </w:rPr>
        <w:t xml:space="preserve"> </w:t>
      </w:r>
      <w:r w:rsidRPr="00E56C1E">
        <w:rPr>
          <w:smallCaps/>
          <w:szCs w:val="20"/>
        </w:rPr>
        <w:t>futurism</w:t>
      </w:r>
      <w:r w:rsidRPr="00E56C1E">
        <w:rPr>
          <w:szCs w:val="20"/>
        </w:rPr>
        <w:t xml:space="preserve"> (June 25, 2017) </w:t>
      </w:r>
      <w:r w:rsidR="00E72B7E" w:rsidRPr="007615B9">
        <w:t>https://futurism.com/chinas-minority-report-style-plans-will-use-ai-to-predict-who-will-commit-crimes</w:t>
      </w:r>
      <w:r w:rsidR="00E72B7E">
        <w:rPr>
          <w:szCs w:val="20"/>
        </w:rPr>
        <w:t xml:space="preserve"> [</w:t>
      </w:r>
      <w:r w:rsidR="00E72B7E" w:rsidRPr="00E72B7E">
        <w:rPr>
          <w:szCs w:val="20"/>
        </w:rPr>
        <w:t>https://perma.cc/JWN3-DTZK</w:t>
      </w:r>
      <w:r w:rsidR="00E72B7E">
        <w:rPr>
          <w:szCs w:val="20"/>
        </w:rPr>
        <w:t>]</w:t>
      </w:r>
      <w:r w:rsidRPr="00E56C1E">
        <w:rPr>
          <w:szCs w:val="20"/>
        </w:rPr>
        <w:t>.</w:t>
      </w:r>
    </w:p>
  </w:footnote>
  <w:footnote w:id="89">
    <w:p w14:paraId="13C36935" w14:textId="2BC021F3"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AI Crime Mapping: 7 Real-World Examples</w:t>
      </w:r>
      <w:r w:rsidRPr="00E56C1E">
        <w:rPr>
          <w:szCs w:val="20"/>
        </w:rPr>
        <w:t xml:space="preserve">, </w:t>
      </w:r>
      <w:proofErr w:type="spellStart"/>
      <w:r w:rsidR="007A1C90">
        <w:rPr>
          <w:smallCaps/>
          <w:szCs w:val="20"/>
        </w:rPr>
        <w:t>C</w:t>
      </w:r>
      <w:r w:rsidRPr="00E56C1E">
        <w:rPr>
          <w:smallCaps/>
          <w:szCs w:val="20"/>
        </w:rPr>
        <w:t>imphony</w:t>
      </w:r>
      <w:proofErr w:type="spellEnd"/>
      <w:r w:rsidRPr="00E56C1E">
        <w:rPr>
          <w:szCs w:val="20"/>
        </w:rPr>
        <w:t xml:space="preserve">, </w:t>
      </w:r>
      <w:r w:rsidR="00E72B7E" w:rsidRPr="007615B9">
        <w:t>https://www.cimphony.ai/insights/ai-crime-mapping-7-real-world-examples</w:t>
      </w:r>
      <w:r w:rsidR="00E72B7E">
        <w:rPr>
          <w:szCs w:val="20"/>
        </w:rPr>
        <w:t xml:space="preserve"> [</w:t>
      </w:r>
      <w:r w:rsidR="00E72B7E" w:rsidRPr="00E72B7E">
        <w:rPr>
          <w:szCs w:val="20"/>
        </w:rPr>
        <w:t>https://perma.cc/3M9X-2FW4</w:t>
      </w:r>
      <w:r w:rsidR="00E72B7E">
        <w:rPr>
          <w:szCs w:val="20"/>
        </w:rPr>
        <w:t>]</w:t>
      </w:r>
      <w:r w:rsidRPr="00E56C1E">
        <w:rPr>
          <w:szCs w:val="20"/>
        </w:rPr>
        <w:t xml:space="preserve"> (last visited Nov. 18, 2024).</w:t>
      </w:r>
    </w:p>
  </w:footnote>
  <w:footnote w:id="90">
    <w:p w14:paraId="45513E6A" w14:textId="0DEC243D"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Alexandra Ma, </w:t>
      </w:r>
      <w:r w:rsidRPr="00E56C1E">
        <w:rPr>
          <w:i/>
          <w:szCs w:val="20"/>
        </w:rPr>
        <w:t>A Chinese City Is Using Facial-Recognition Technology to Fine Jaywalkers Instantly</w:t>
      </w:r>
      <w:r w:rsidRPr="00E56C1E">
        <w:rPr>
          <w:szCs w:val="20"/>
        </w:rPr>
        <w:t xml:space="preserve">, </w:t>
      </w:r>
      <w:r w:rsidRPr="00E56C1E">
        <w:rPr>
          <w:smallCaps/>
          <w:szCs w:val="20"/>
        </w:rPr>
        <w:t xml:space="preserve">Bus. </w:t>
      </w:r>
      <w:r w:rsidR="007A1C90">
        <w:rPr>
          <w:smallCaps/>
          <w:szCs w:val="20"/>
        </w:rPr>
        <w:t>I</w:t>
      </w:r>
      <w:r w:rsidRPr="00E56C1E">
        <w:rPr>
          <w:smallCaps/>
          <w:szCs w:val="20"/>
        </w:rPr>
        <w:t xml:space="preserve">nsider </w:t>
      </w:r>
      <w:r w:rsidRPr="00E56C1E">
        <w:rPr>
          <w:szCs w:val="20"/>
        </w:rPr>
        <w:t>(Mar. 27, 2018).</w:t>
      </w:r>
    </w:p>
  </w:footnote>
  <w:footnote w:id="91">
    <w:p w14:paraId="7E86FE83"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92">
    <w:p w14:paraId="6088E7D3"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93">
    <w:p w14:paraId="7E8852BC"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94">
    <w:p w14:paraId="7FDC4759"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95">
    <w:p w14:paraId="19C30070"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96">
    <w:p w14:paraId="352C6ACF" w14:textId="2A72681D"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F86E37">
        <w:rPr>
          <w:smallCaps/>
          <w:szCs w:val="20"/>
        </w:rPr>
        <w:t>Jeffrey Ding, Deciphering China’s AI Dream: The Context, Components, Capabilities, and Consequences of China’s Strategy to Lead the World in AI, 4</w:t>
      </w:r>
      <w:r w:rsidRPr="00E56C1E">
        <w:rPr>
          <w:szCs w:val="20"/>
        </w:rPr>
        <w:t xml:space="preserve"> (</w:t>
      </w:r>
      <w:r w:rsidR="007A1C90" w:rsidRPr="00F86E37">
        <w:rPr>
          <w:szCs w:val="20"/>
        </w:rPr>
        <w:t>Future of</w:t>
      </w:r>
      <w:r w:rsidR="007A1C90" w:rsidRPr="007A1C90">
        <w:rPr>
          <w:szCs w:val="20"/>
        </w:rPr>
        <w:t xml:space="preserve"> </w:t>
      </w:r>
      <w:r w:rsidR="007A1C90" w:rsidRPr="00F86E37">
        <w:rPr>
          <w:szCs w:val="20"/>
        </w:rPr>
        <w:t>Human. Inst., Univ. of Oxford</w:t>
      </w:r>
      <w:r w:rsidR="007A1C90">
        <w:rPr>
          <w:szCs w:val="20"/>
        </w:rPr>
        <w:t>,</w:t>
      </w:r>
      <w:r w:rsidR="007A1C90" w:rsidRPr="00E56C1E">
        <w:rPr>
          <w:szCs w:val="20"/>
        </w:rPr>
        <w:t xml:space="preserve"> </w:t>
      </w:r>
      <w:r w:rsidRPr="00E56C1E">
        <w:rPr>
          <w:szCs w:val="20"/>
        </w:rPr>
        <w:t>Mar. 2018).</w:t>
      </w:r>
    </w:p>
  </w:footnote>
  <w:footnote w:id="97">
    <w:p w14:paraId="7C49E2B6"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Id at 14.</w:t>
      </w:r>
    </w:p>
  </w:footnote>
  <w:footnote w:id="98">
    <w:p w14:paraId="7A18DA38"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99">
    <w:p w14:paraId="237D915C"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r w:rsidRPr="00E56C1E">
        <w:rPr>
          <w:szCs w:val="20"/>
        </w:rPr>
        <w:t>at 5.</w:t>
      </w:r>
    </w:p>
  </w:footnote>
  <w:footnote w:id="100">
    <w:p w14:paraId="3DB28243"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r w:rsidRPr="00E56C1E">
        <w:rPr>
          <w:szCs w:val="20"/>
        </w:rPr>
        <w:t>at 30.</w:t>
      </w:r>
    </w:p>
  </w:footnote>
  <w:footnote w:id="101">
    <w:p w14:paraId="2F58DACC"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02">
    <w:p w14:paraId="34991F1C"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r w:rsidRPr="00E56C1E">
        <w:rPr>
          <w:szCs w:val="20"/>
        </w:rPr>
        <w:t xml:space="preserve"> at 31.</w:t>
      </w:r>
    </w:p>
  </w:footnote>
  <w:footnote w:id="103">
    <w:p w14:paraId="4F593856"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04">
    <w:p w14:paraId="5A9D16CE" w14:textId="657BE5E8"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NASSCOM (National Association of Software and Service Companies), </w:t>
      </w:r>
      <w:r w:rsidRPr="00E56C1E">
        <w:rPr>
          <w:i/>
          <w:szCs w:val="20"/>
        </w:rPr>
        <w:t>AI Patents – Driving Emergence of India as an AI Innovation Hub</w:t>
      </w:r>
      <w:r w:rsidRPr="00E56C1E">
        <w:rPr>
          <w:szCs w:val="20"/>
        </w:rPr>
        <w:t xml:space="preserve">, </w:t>
      </w:r>
      <w:r w:rsidR="00E72B7E" w:rsidRPr="00E56C1E">
        <w:rPr>
          <w:color w:val="1155CC"/>
          <w:szCs w:val="20"/>
          <w:u w:val="single"/>
        </w:rPr>
        <w:t>https://nasscom.in/knowledge-center/publications/ai-patents-driving-emergence-india-ai-innovation-hub</w:t>
      </w:r>
      <w:r w:rsidRPr="00E56C1E">
        <w:rPr>
          <w:szCs w:val="20"/>
        </w:rPr>
        <w:t xml:space="preserve"> </w:t>
      </w:r>
      <w:r w:rsidR="00E72B7E">
        <w:rPr>
          <w:szCs w:val="20"/>
        </w:rPr>
        <w:t>[</w:t>
      </w:r>
      <w:r w:rsidR="00E72B7E" w:rsidRPr="00E72B7E">
        <w:rPr>
          <w:szCs w:val="20"/>
        </w:rPr>
        <w:t>https://perma.cc/SYH8-BRDD</w:t>
      </w:r>
      <w:r w:rsidR="00E72B7E">
        <w:rPr>
          <w:szCs w:val="20"/>
        </w:rPr>
        <w:t xml:space="preserve">] </w:t>
      </w:r>
      <w:r w:rsidRPr="00E56C1E">
        <w:rPr>
          <w:szCs w:val="20"/>
        </w:rPr>
        <w:t>(last visited Dec. 13, 2024).</w:t>
      </w:r>
    </w:p>
  </w:footnote>
  <w:footnote w:id="105">
    <w:p w14:paraId="0F5224EB"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Ashna Ashesh, </w:t>
      </w:r>
      <w:r w:rsidRPr="00E56C1E">
        <w:rPr>
          <w:i/>
          <w:szCs w:val="20"/>
        </w:rPr>
        <w:t xml:space="preserve">Predictive Policing in India: Deterring Crime or Discriminating </w:t>
      </w:r>
      <w:proofErr w:type="gramStart"/>
      <w:r w:rsidRPr="00E56C1E">
        <w:rPr>
          <w:i/>
          <w:szCs w:val="20"/>
        </w:rPr>
        <w:t>Minorities?</w:t>
      </w:r>
      <w:r w:rsidRPr="00E56C1E">
        <w:rPr>
          <w:szCs w:val="20"/>
        </w:rPr>
        <w:t>,</w:t>
      </w:r>
      <w:proofErr w:type="gramEnd"/>
      <w:r w:rsidRPr="00E56C1E">
        <w:rPr>
          <w:szCs w:val="20"/>
        </w:rPr>
        <w:t xml:space="preserve"> </w:t>
      </w:r>
      <w:r w:rsidRPr="00F86E37">
        <w:rPr>
          <w:smallCaps/>
          <w:szCs w:val="20"/>
        </w:rPr>
        <w:t xml:space="preserve">LSE Hum. </w:t>
      </w:r>
      <w:proofErr w:type="spellStart"/>
      <w:r w:rsidRPr="00F86E37">
        <w:rPr>
          <w:smallCaps/>
          <w:szCs w:val="20"/>
        </w:rPr>
        <w:t>Rts</w:t>
      </w:r>
      <w:proofErr w:type="spellEnd"/>
      <w:r w:rsidRPr="00F86E37">
        <w:rPr>
          <w:smallCaps/>
          <w:szCs w:val="20"/>
        </w:rPr>
        <w:t>. Blog</w:t>
      </w:r>
      <w:r w:rsidRPr="00E56C1E">
        <w:rPr>
          <w:szCs w:val="20"/>
        </w:rPr>
        <w:t xml:space="preserve"> (Apr. 16, 2021).</w:t>
      </w:r>
    </w:p>
  </w:footnote>
  <w:footnote w:id="106">
    <w:p w14:paraId="28FB5315" w14:textId="7CCC842D"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Indian State Adopts AI-Based Predictive Policing</w:t>
      </w:r>
      <w:r w:rsidRPr="00E56C1E">
        <w:rPr>
          <w:szCs w:val="20"/>
        </w:rPr>
        <w:t xml:space="preserve">, </w:t>
      </w:r>
      <w:r w:rsidRPr="00F86E37">
        <w:rPr>
          <w:smallCaps/>
          <w:szCs w:val="20"/>
        </w:rPr>
        <w:t>Privacy Int</w:t>
      </w:r>
      <w:r w:rsidR="007A1C90">
        <w:rPr>
          <w:smallCaps/>
          <w:szCs w:val="20"/>
        </w:rPr>
        <w:t>’</w:t>
      </w:r>
      <w:r w:rsidRPr="00F86E37">
        <w:rPr>
          <w:smallCaps/>
          <w:szCs w:val="20"/>
        </w:rPr>
        <w:t>l</w:t>
      </w:r>
      <w:r w:rsidRPr="00E56C1E">
        <w:rPr>
          <w:szCs w:val="20"/>
        </w:rPr>
        <w:t xml:space="preserve"> (Jan. 10, 2023). </w:t>
      </w:r>
    </w:p>
  </w:footnote>
  <w:footnote w:id="107">
    <w:p w14:paraId="0780E0DE" w14:textId="6E41F31B"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B. Shanker Jaiswal, </w:t>
      </w:r>
      <w:r w:rsidRPr="00E56C1E">
        <w:rPr>
          <w:i/>
          <w:szCs w:val="20"/>
        </w:rPr>
        <w:t xml:space="preserve">Predictive Policing: Leveraging AI and Machine Learning for Crime Prevention, </w:t>
      </w:r>
      <w:r w:rsidR="000864A3" w:rsidRPr="00F86E37">
        <w:rPr>
          <w:iCs/>
          <w:smallCaps/>
          <w:szCs w:val="20"/>
        </w:rPr>
        <w:t>The Protector</w:t>
      </w:r>
      <w:r w:rsidR="000864A3">
        <w:rPr>
          <w:i/>
          <w:smallCaps/>
          <w:szCs w:val="20"/>
        </w:rPr>
        <w:t xml:space="preserve"> </w:t>
      </w:r>
      <w:r w:rsidRPr="00E56C1E">
        <w:rPr>
          <w:szCs w:val="20"/>
        </w:rPr>
        <w:t>(Dec. 13, 2024).</w:t>
      </w:r>
    </w:p>
  </w:footnote>
  <w:footnote w:id="108">
    <w:p w14:paraId="2B41674A"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Vidushi Marda &amp; Shivangi Narayan, </w:t>
      </w:r>
      <w:r w:rsidRPr="00E56C1E">
        <w:rPr>
          <w:i/>
          <w:szCs w:val="20"/>
        </w:rPr>
        <w:t>Data in New Delhi</w:t>
      </w:r>
      <w:r>
        <w:rPr>
          <w:i/>
          <w:szCs w:val="20"/>
        </w:rPr>
        <w:t>’</w:t>
      </w:r>
      <w:r w:rsidRPr="00E56C1E">
        <w:rPr>
          <w:i/>
          <w:szCs w:val="20"/>
        </w:rPr>
        <w:t>s Predictive Policing System</w:t>
      </w:r>
      <w:r w:rsidRPr="00E56C1E">
        <w:rPr>
          <w:szCs w:val="20"/>
        </w:rPr>
        <w:t xml:space="preserve">, in </w:t>
      </w:r>
      <w:r w:rsidRPr="00E56C1E">
        <w:rPr>
          <w:i/>
          <w:szCs w:val="20"/>
        </w:rPr>
        <w:t xml:space="preserve">FAT </w:t>
      </w:r>
      <w:r>
        <w:rPr>
          <w:i/>
          <w:szCs w:val="20"/>
        </w:rPr>
        <w:t>‘</w:t>
      </w:r>
      <w:r w:rsidRPr="00E56C1E">
        <w:rPr>
          <w:i/>
          <w:szCs w:val="20"/>
        </w:rPr>
        <w:t>20: Proceedings of the ACM Conference on Fairness, Accountability, and Transparency</w:t>
      </w:r>
      <w:r w:rsidRPr="00E56C1E">
        <w:rPr>
          <w:szCs w:val="20"/>
        </w:rPr>
        <w:t xml:space="preserve">, Jan. 27–30, 2020, Barcelona, Spain, at 317 (2020) (quoting Vidushi Marda, </w:t>
      </w:r>
      <w:r w:rsidRPr="00E56C1E">
        <w:rPr>
          <w:i/>
          <w:szCs w:val="20"/>
        </w:rPr>
        <w:t>Facial Recognition is an Invasive and Inefficient Tool</w:t>
      </w:r>
      <w:r w:rsidRPr="00E56C1E">
        <w:rPr>
          <w:szCs w:val="20"/>
        </w:rPr>
        <w:t>).</w:t>
      </w:r>
    </w:p>
  </w:footnote>
  <w:footnote w:id="109">
    <w:p w14:paraId="742D25D8"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10">
    <w:p w14:paraId="222C9B7C"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r w:rsidRPr="00E56C1E">
        <w:rPr>
          <w:szCs w:val="20"/>
        </w:rPr>
        <w:t xml:space="preserve"> </w:t>
      </w:r>
    </w:p>
  </w:footnote>
  <w:footnote w:id="111">
    <w:p w14:paraId="294131F1"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r w:rsidRPr="00E56C1E">
        <w:rPr>
          <w:szCs w:val="20"/>
        </w:rPr>
        <w:t xml:space="preserve"> </w:t>
      </w:r>
    </w:p>
  </w:footnote>
  <w:footnote w:id="112">
    <w:p w14:paraId="4C310D9D"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13">
    <w:p w14:paraId="0FD1A3F8"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r w:rsidRPr="00E56C1E">
        <w:rPr>
          <w:szCs w:val="20"/>
        </w:rPr>
        <w:t>at 318.</w:t>
      </w:r>
    </w:p>
  </w:footnote>
  <w:footnote w:id="114">
    <w:p w14:paraId="34D0732F"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Meena Rani, </w:t>
      </w:r>
      <w:r w:rsidRPr="00E56C1E">
        <w:rPr>
          <w:i/>
          <w:szCs w:val="20"/>
        </w:rPr>
        <w:t>Impacts and Ethics of Using Artificial Intelligence (AI) by the Indian Police</w:t>
      </w:r>
      <w:r w:rsidRPr="00E56C1E">
        <w:rPr>
          <w:szCs w:val="20"/>
        </w:rPr>
        <w:t xml:space="preserve">, 27 </w:t>
      </w:r>
      <w:r w:rsidRPr="00E56C1E">
        <w:rPr>
          <w:smallCaps/>
          <w:szCs w:val="20"/>
        </w:rPr>
        <w:t xml:space="preserve">Pub. admin. &amp; </w:t>
      </w:r>
      <w:proofErr w:type="spellStart"/>
      <w:r w:rsidRPr="00E56C1E">
        <w:rPr>
          <w:smallCaps/>
          <w:szCs w:val="20"/>
        </w:rPr>
        <w:t>pol</w:t>
      </w:r>
      <w:r>
        <w:rPr>
          <w:smallCaps/>
          <w:szCs w:val="20"/>
        </w:rPr>
        <w:t>’</w:t>
      </w:r>
      <w:r w:rsidRPr="00E56C1E">
        <w:rPr>
          <w:smallCaps/>
          <w:szCs w:val="20"/>
        </w:rPr>
        <w:t>y</w:t>
      </w:r>
      <w:proofErr w:type="spellEnd"/>
      <w:r w:rsidRPr="00E56C1E">
        <w:rPr>
          <w:smallCaps/>
          <w:szCs w:val="20"/>
        </w:rPr>
        <w:t xml:space="preserve">. </w:t>
      </w:r>
      <w:r w:rsidRPr="00E56C1E">
        <w:rPr>
          <w:szCs w:val="20"/>
        </w:rPr>
        <w:t>182 (2024).</w:t>
      </w:r>
    </w:p>
  </w:footnote>
  <w:footnote w:id="115">
    <w:p w14:paraId="7AB4A691"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16">
    <w:p w14:paraId="022F53CF"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r w:rsidRPr="00E56C1E">
        <w:rPr>
          <w:szCs w:val="20"/>
        </w:rPr>
        <w:t>at 187.</w:t>
      </w:r>
    </w:p>
  </w:footnote>
  <w:footnote w:id="117">
    <w:p w14:paraId="244E1269" w14:textId="0BF61B76"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Aditi Bopanna, </w:t>
      </w:r>
      <w:r w:rsidRPr="00E56C1E">
        <w:rPr>
          <w:i/>
          <w:szCs w:val="20"/>
        </w:rPr>
        <w:t>India</w:t>
      </w:r>
      <w:r>
        <w:rPr>
          <w:i/>
          <w:szCs w:val="20"/>
        </w:rPr>
        <w:t>’</w:t>
      </w:r>
      <w:r w:rsidRPr="00E56C1E">
        <w:rPr>
          <w:i/>
          <w:szCs w:val="20"/>
        </w:rPr>
        <w:t>s Tryst with Predictive Policing</w:t>
      </w:r>
      <w:r w:rsidRPr="00E56C1E">
        <w:rPr>
          <w:szCs w:val="20"/>
        </w:rPr>
        <w:t xml:space="preserve">, </w:t>
      </w:r>
      <w:r w:rsidRPr="00F86E37">
        <w:rPr>
          <w:smallCaps/>
          <w:szCs w:val="20"/>
        </w:rPr>
        <w:t xml:space="preserve">Vidhi Ctr. for Legal </w:t>
      </w:r>
      <w:proofErr w:type="spellStart"/>
      <w:r w:rsidRPr="00F86E37">
        <w:rPr>
          <w:smallCaps/>
          <w:szCs w:val="20"/>
        </w:rPr>
        <w:t>Pol’y</w:t>
      </w:r>
      <w:proofErr w:type="spellEnd"/>
      <w:r w:rsidRPr="00E56C1E">
        <w:rPr>
          <w:szCs w:val="20"/>
        </w:rPr>
        <w:t xml:space="preserve"> (2020),</w:t>
      </w:r>
      <w:hyperlink r:id="rId2">
        <w:r w:rsidRPr="00E56C1E">
          <w:rPr>
            <w:szCs w:val="20"/>
          </w:rPr>
          <w:t xml:space="preserve"> </w:t>
        </w:r>
      </w:hyperlink>
      <w:r w:rsidR="00E72B7E" w:rsidRPr="00E56C1E">
        <w:rPr>
          <w:color w:val="1155CC"/>
          <w:szCs w:val="20"/>
          <w:u w:val="single"/>
        </w:rPr>
        <w:t>https://vidhilegalpolicy.in/blog/indias-tryst-with-predictive-policing/</w:t>
      </w:r>
      <w:r w:rsidRPr="00E56C1E">
        <w:rPr>
          <w:szCs w:val="20"/>
        </w:rPr>
        <w:t xml:space="preserve"> </w:t>
      </w:r>
      <w:r w:rsidR="00E72B7E">
        <w:rPr>
          <w:szCs w:val="20"/>
        </w:rPr>
        <w:t>[</w:t>
      </w:r>
      <w:r w:rsidR="00E72B7E" w:rsidRPr="00E72B7E">
        <w:rPr>
          <w:szCs w:val="20"/>
        </w:rPr>
        <w:t>https://perma.cc/ALT6-WT55</w:t>
      </w:r>
      <w:r w:rsidR="00E72B7E">
        <w:rPr>
          <w:szCs w:val="20"/>
        </w:rPr>
        <w:t xml:space="preserve">] </w:t>
      </w:r>
      <w:r w:rsidRPr="00E56C1E">
        <w:rPr>
          <w:szCs w:val="20"/>
        </w:rPr>
        <w:t>(last visited December 13, 2024).</w:t>
      </w:r>
    </w:p>
  </w:footnote>
  <w:footnote w:id="118">
    <w:p w14:paraId="3587B105" w14:textId="75052C48"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Meena, supra</w:t>
      </w:r>
      <w:r w:rsidRPr="00E56C1E">
        <w:rPr>
          <w:szCs w:val="20"/>
        </w:rPr>
        <w:t xml:space="preserve"> note 112</w:t>
      </w:r>
      <w:r w:rsidR="000864A3">
        <w:rPr>
          <w:szCs w:val="20"/>
        </w:rPr>
        <w:t>,</w:t>
      </w:r>
      <w:r w:rsidRPr="00E56C1E">
        <w:rPr>
          <w:szCs w:val="20"/>
        </w:rPr>
        <w:t xml:space="preserve"> at 187.</w:t>
      </w:r>
    </w:p>
  </w:footnote>
  <w:footnote w:id="119">
    <w:p w14:paraId="67777525"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20">
    <w:p w14:paraId="2C12B471"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21">
    <w:p w14:paraId="1AC08EB0"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Press Info. Bureau, Gov</w:t>
      </w:r>
      <w:r>
        <w:rPr>
          <w:szCs w:val="20"/>
        </w:rPr>
        <w:t>’</w:t>
      </w:r>
      <w:r w:rsidRPr="00E56C1E">
        <w:rPr>
          <w:szCs w:val="20"/>
        </w:rPr>
        <w:t xml:space="preserve">t of India, </w:t>
      </w:r>
      <w:r w:rsidRPr="00E56C1E">
        <w:rPr>
          <w:i/>
          <w:szCs w:val="20"/>
        </w:rPr>
        <w:t xml:space="preserve">Steps Taken to Promote Upskilling or Reskilling in the Field of Artificial Intelligence </w:t>
      </w:r>
      <w:r w:rsidRPr="00E56C1E">
        <w:rPr>
          <w:szCs w:val="20"/>
        </w:rPr>
        <w:t>(July 20, 2022).</w:t>
      </w:r>
    </w:p>
  </w:footnote>
  <w:footnote w:id="122">
    <w:p w14:paraId="6B4A3500" w14:textId="612B55C3"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Meena</w:t>
      </w:r>
      <w:r w:rsidRPr="00E56C1E">
        <w:rPr>
          <w:szCs w:val="20"/>
        </w:rPr>
        <w:t xml:space="preserve">, </w:t>
      </w:r>
      <w:r w:rsidRPr="00E56C1E">
        <w:rPr>
          <w:i/>
          <w:szCs w:val="20"/>
        </w:rPr>
        <w:t xml:space="preserve">supra </w:t>
      </w:r>
      <w:r w:rsidRPr="00E56C1E">
        <w:rPr>
          <w:szCs w:val="20"/>
        </w:rPr>
        <w:t>note 112</w:t>
      </w:r>
      <w:r w:rsidR="000864A3">
        <w:rPr>
          <w:szCs w:val="20"/>
        </w:rPr>
        <w:t>,</w:t>
      </w:r>
      <w:r w:rsidRPr="00E56C1E">
        <w:rPr>
          <w:szCs w:val="20"/>
        </w:rPr>
        <w:t xml:space="preserve"> at 187.</w:t>
      </w:r>
    </w:p>
  </w:footnote>
  <w:footnote w:id="123">
    <w:p w14:paraId="2E412512"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NITI Aayog, </w:t>
      </w:r>
      <w:r>
        <w:rPr>
          <w:szCs w:val="20"/>
        </w:rPr>
        <w:t>“</w:t>
      </w:r>
      <w:r w:rsidRPr="00E56C1E">
        <w:rPr>
          <w:i/>
          <w:szCs w:val="20"/>
        </w:rPr>
        <w:t>Responsible AI for All: Approach Document for India Part 1 – Principles for Responsible AI</w:t>
      </w:r>
      <w:r w:rsidRPr="00E56C1E">
        <w:rPr>
          <w:szCs w:val="20"/>
        </w:rPr>
        <w:t>,</w:t>
      </w:r>
      <w:r>
        <w:rPr>
          <w:szCs w:val="20"/>
        </w:rPr>
        <w:t>”</w:t>
      </w:r>
      <w:r w:rsidRPr="00E56C1E">
        <w:rPr>
          <w:szCs w:val="20"/>
        </w:rPr>
        <w:t xml:space="preserve"> (2021).</w:t>
      </w:r>
    </w:p>
  </w:footnote>
  <w:footnote w:id="124">
    <w:p w14:paraId="26DF3B4E" w14:textId="1E110E5C"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Meena, supra</w:t>
      </w:r>
      <w:r w:rsidRPr="00E56C1E">
        <w:rPr>
          <w:szCs w:val="20"/>
        </w:rPr>
        <w:t xml:space="preserve"> note 112</w:t>
      </w:r>
      <w:r w:rsidR="000864A3">
        <w:rPr>
          <w:szCs w:val="20"/>
        </w:rPr>
        <w:t>,</w:t>
      </w:r>
      <w:r w:rsidRPr="00E56C1E">
        <w:rPr>
          <w:szCs w:val="20"/>
        </w:rPr>
        <w:t xml:space="preserve"> at 188.</w:t>
      </w:r>
    </w:p>
  </w:footnote>
  <w:footnote w:id="125">
    <w:p w14:paraId="2DA2B4FE" w14:textId="751D6A2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Times News Network, </w:t>
      </w:r>
      <w:r w:rsidRPr="00E56C1E">
        <w:rPr>
          <w:i/>
          <w:szCs w:val="20"/>
        </w:rPr>
        <w:t>Palghar Lynching: 35 Cops from Kasa Police Station Transferred</w:t>
      </w:r>
      <w:r w:rsidRPr="00E56C1E">
        <w:rPr>
          <w:szCs w:val="20"/>
        </w:rPr>
        <w:t xml:space="preserve">, </w:t>
      </w:r>
      <w:r w:rsidRPr="00F86E37">
        <w:rPr>
          <w:iCs/>
          <w:smallCaps/>
          <w:szCs w:val="20"/>
        </w:rPr>
        <w:t>Times of India</w:t>
      </w:r>
      <w:r w:rsidRPr="00E56C1E">
        <w:rPr>
          <w:szCs w:val="20"/>
        </w:rPr>
        <w:t xml:space="preserve"> (Apr. 29, 2020),</w:t>
      </w:r>
      <w:hyperlink r:id="rId3">
        <w:r w:rsidRPr="00E56C1E">
          <w:rPr>
            <w:szCs w:val="20"/>
          </w:rPr>
          <w:t xml:space="preserve"> </w:t>
        </w:r>
      </w:hyperlink>
      <w:r w:rsidR="00227AE9" w:rsidRPr="007615B9">
        <w:rPr>
          <w:color w:val="1155CC"/>
        </w:rPr>
        <w:t>https://timesofindia.indiatimes.com/city/thane/palghar-lynching-35-cops-from-kasa-police-station-transferred/articleshow/75436467.cms</w:t>
      </w:r>
      <w:r w:rsidR="00E72B7E">
        <w:rPr>
          <w:color w:val="1155CC"/>
          <w:szCs w:val="20"/>
          <w:u w:val="single"/>
        </w:rPr>
        <w:t xml:space="preserve"> [</w:t>
      </w:r>
      <w:r w:rsidR="00E72B7E" w:rsidRPr="00E72B7E">
        <w:rPr>
          <w:color w:val="1155CC"/>
          <w:szCs w:val="20"/>
          <w:u w:val="single"/>
        </w:rPr>
        <w:t>https://perma.cc/HWB7-EHL2</w:t>
      </w:r>
      <w:r w:rsidR="00E72B7E">
        <w:rPr>
          <w:color w:val="1155CC"/>
          <w:szCs w:val="20"/>
          <w:u w:val="single"/>
        </w:rPr>
        <w:t>]</w:t>
      </w:r>
      <w:r w:rsidRPr="00E56C1E">
        <w:rPr>
          <w:szCs w:val="20"/>
        </w:rPr>
        <w:t xml:space="preserve"> (last visited Dec. 13, 2024).</w:t>
      </w:r>
    </w:p>
  </w:footnote>
  <w:footnote w:id="126">
    <w:p w14:paraId="2BE59142"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Meena</w:t>
      </w:r>
      <w:r w:rsidRPr="00E56C1E">
        <w:rPr>
          <w:szCs w:val="20"/>
        </w:rPr>
        <w:t xml:space="preserve">, </w:t>
      </w:r>
      <w:r w:rsidRPr="00E56C1E">
        <w:rPr>
          <w:i/>
          <w:szCs w:val="20"/>
        </w:rPr>
        <w:t xml:space="preserve">supra </w:t>
      </w:r>
      <w:r w:rsidRPr="00E56C1E">
        <w:rPr>
          <w:szCs w:val="20"/>
        </w:rPr>
        <w:t>note 112 at 188.</w:t>
      </w:r>
    </w:p>
  </w:footnote>
  <w:footnote w:id="127">
    <w:p w14:paraId="47BF27EC"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General Data Protection Regulation</w:t>
      </w:r>
      <w:r w:rsidRPr="00E56C1E">
        <w:rPr>
          <w:szCs w:val="20"/>
        </w:rPr>
        <w:t xml:space="preserve">, </w:t>
      </w:r>
      <w:r w:rsidRPr="00E56C1E">
        <w:rPr>
          <w:i/>
          <w:szCs w:val="20"/>
        </w:rPr>
        <w:t>supra</w:t>
      </w:r>
      <w:r w:rsidRPr="00E56C1E">
        <w:rPr>
          <w:szCs w:val="20"/>
        </w:rPr>
        <w:t xml:space="preserve"> note 44.</w:t>
      </w:r>
    </w:p>
  </w:footnote>
  <w:footnote w:id="128">
    <w:p w14:paraId="69977684" w14:textId="77777777" w:rsidR="00E56C1E" w:rsidRPr="00E56C1E" w:rsidRDefault="00E56C1E" w:rsidP="00E56C1E">
      <w:pPr>
        <w:pStyle w:val="FootNote"/>
        <w:rPr>
          <w:i/>
        </w:rPr>
      </w:pPr>
      <w:r w:rsidRPr="00E56C1E">
        <w:tab/>
      </w:r>
      <w:r w:rsidRPr="00E56C1E">
        <w:rPr>
          <w:rStyle w:val="NoterefInNote"/>
        </w:rPr>
        <w:footnoteRef/>
      </w:r>
      <w:r w:rsidRPr="00E56C1E">
        <w:t>.</w:t>
      </w:r>
      <w:r w:rsidRPr="00E56C1E">
        <w:tab/>
      </w:r>
      <w:r w:rsidRPr="00E56C1E">
        <w:rPr>
          <w:szCs w:val="20"/>
        </w:rPr>
        <w:t xml:space="preserve"> Hoofnagle et al., </w:t>
      </w:r>
      <w:r w:rsidRPr="00E56C1E">
        <w:rPr>
          <w:i/>
          <w:szCs w:val="20"/>
        </w:rPr>
        <w:t>The European Union General Data Protection Regulation</w:t>
      </w:r>
      <w:r w:rsidRPr="00E56C1E">
        <w:rPr>
          <w:szCs w:val="20"/>
        </w:rPr>
        <w:t xml:space="preserve"> 28 </w:t>
      </w:r>
      <w:r w:rsidRPr="00E56C1E">
        <w:rPr>
          <w:smallCaps/>
          <w:szCs w:val="20"/>
        </w:rPr>
        <w:t>Info. &amp; Comm</w:t>
      </w:r>
      <w:r>
        <w:rPr>
          <w:smallCaps/>
          <w:szCs w:val="20"/>
        </w:rPr>
        <w:t>’</w:t>
      </w:r>
      <w:r w:rsidRPr="00E56C1E">
        <w:rPr>
          <w:smallCaps/>
          <w:szCs w:val="20"/>
        </w:rPr>
        <w:t>n Tech. L. 65</w:t>
      </w:r>
      <w:r w:rsidRPr="00E56C1E">
        <w:rPr>
          <w:szCs w:val="20"/>
        </w:rPr>
        <w:t>, 69 (2019)</w:t>
      </w:r>
    </w:p>
  </w:footnote>
  <w:footnote w:id="129">
    <w:p w14:paraId="274EDC0A"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30">
    <w:p w14:paraId="7D2AE19B"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r w:rsidRPr="00E56C1E">
        <w:rPr>
          <w:szCs w:val="20"/>
        </w:rPr>
        <w:t>at 72.</w:t>
      </w:r>
    </w:p>
  </w:footnote>
  <w:footnote w:id="131">
    <w:p w14:paraId="08930ED1" w14:textId="7A56CC1E"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r w:rsidRPr="00E56C1E">
        <w:rPr>
          <w:szCs w:val="20"/>
        </w:rPr>
        <w:t>at 7</w:t>
      </w:r>
      <w:r w:rsidR="00A356C7">
        <w:rPr>
          <w:szCs w:val="20"/>
        </w:rPr>
        <w:t>2</w:t>
      </w:r>
      <w:r w:rsidRPr="00E56C1E">
        <w:rPr>
          <w:szCs w:val="20"/>
        </w:rPr>
        <w:t xml:space="preserve">. </w:t>
      </w:r>
    </w:p>
  </w:footnote>
  <w:footnote w:id="132">
    <w:p w14:paraId="7A8DBC1C" w14:textId="68025D84"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General Data Protection Regulation</w:t>
      </w:r>
      <w:r w:rsidRPr="00E56C1E">
        <w:rPr>
          <w:szCs w:val="20"/>
        </w:rPr>
        <w:t xml:space="preserve">, </w:t>
      </w:r>
      <w:r w:rsidRPr="00E56C1E">
        <w:rPr>
          <w:i/>
          <w:szCs w:val="20"/>
        </w:rPr>
        <w:t>supra</w:t>
      </w:r>
      <w:r w:rsidRPr="00E56C1E">
        <w:rPr>
          <w:szCs w:val="20"/>
        </w:rPr>
        <w:t xml:space="preserve"> note 44. </w:t>
      </w:r>
    </w:p>
  </w:footnote>
  <w:footnote w:id="133">
    <w:p w14:paraId="24727CDB"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34">
    <w:p w14:paraId="16174951" w14:textId="0B3B35EC"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The EU Artificial Intelligence Act</w:t>
      </w:r>
      <w:r w:rsidRPr="00E56C1E">
        <w:rPr>
          <w:szCs w:val="20"/>
        </w:rPr>
        <w:t xml:space="preserve">, </w:t>
      </w:r>
      <w:r w:rsidR="00E72B7E" w:rsidRPr="00E56C1E">
        <w:rPr>
          <w:color w:val="1155CC"/>
          <w:szCs w:val="20"/>
          <w:u w:val="single"/>
        </w:rPr>
        <w:t>https://artificialintelligenceact.eu</w:t>
      </w:r>
      <w:r w:rsidRPr="00E56C1E">
        <w:rPr>
          <w:szCs w:val="20"/>
        </w:rPr>
        <w:t xml:space="preserve"> </w:t>
      </w:r>
      <w:r w:rsidR="00E72B7E">
        <w:rPr>
          <w:szCs w:val="20"/>
        </w:rPr>
        <w:t>[</w:t>
      </w:r>
      <w:r w:rsidR="00E72B7E" w:rsidRPr="00E72B7E">
        <w:rPr>
          <w:szCs w:val="20"/>
        </w:rPr>
        <w:t>https://perma.cc/MF26-GLKX</w:t>
      </w:r>
      <w:r w:rsidR="00E72B7E">
        <w:rPr>
          <w:szCs w:val="20"/>
        </w:rPr>
        <w:t xml:space="preserve">] </w:t>
      </w:r>
      <w:r w:rsidRPr="00E56C1E">
        <w:rPr>
          <w:szCs w:val="20"/>
        </w:rPr>
        <w:t>(last visited Oct. 30, 2024</w:t>
      </w:r>
      <w:r w:rsidR="00095BBB">
        <w:rPr>
          <w:szCs w:val="20"/>
        </w:rPr>
        <w:t>).</w:t>
      </w:r>
    </w:p>
  </w:footnote>
  <w:footnote w:id="135">
    <w:p w14:paraId="0DA96D60" w14:textId="38F8D1F5" w:rsidR="00E56C1E" w:rsidRPr="00E56C1E" w:rsidRDefault="00E56C1E" w:rsidP="00E56C1E">
      <w:pPr>
        <w:pStyle w:val="FootNote"/>
      </w:pPr>
      <w:r w:rsidRPr="00E56C1E">
        <w:tab/>
      </w:r>
      <w:r w:rsidRPr="00E56C1E">
        <w:rPr>
          <w:rStyle w:val="NoterefInNote"/>
        </w:rPr>
        <w:footnoteRef/>
      </w:r>
      <w:r w:rsidRPr="00E56C1E">
        <w:t>.</w:t>
      </w:r>
      <w:r w:rsidRPr="00E56C1E">
        <w:tab/>
      </w:r>
      <w:r w:rsidRPr="00B0752C">
        <w:rPr>
          <w:i/>
          <w:iCs/>
          <w:szCs w:val="20"/>
        </w:rPr>
        <w:t>EU Parliament Approves Landmark AI Law</w:t>
      </w:r>
      <w:r w:rsidRPr="00E56C1E">
        <w:rPr>
          <w:szCs w:val="20"/>
        </w:rPr>
        <w:t xml:space="preserve">, </w:t>
      </w:r>
      <w:r w:rsidR="00095BBB">
        <w:rPr>
          <w:smallCaps/>
          <w:szCs w:val="20"/>
        </w:rPr>
        <w:t xml:space="preserve">Fair Trials </w:t>
      </w:r>
      <w:r w:rsidRPr="00E56C1E">
        <w:rPr>
          <w:szCs w:val="20"/>
        </w:rPr>
        <w:t xml:space="preserve">(June 14, 2023), </w:t>
      </w:r>
      <w:r w:rsidR="00E72B7E" w:rsidRPr="00E56C1E">
        <w:rPr>
          <w:color w:val="1155CC"/>
          <w:szCs w:val="20"/>
          <w:u w:val="single"/>
        </w:rPr>
        <w:t>https://www.fairtrials.org/articles/news/eu-parliament-approves-landmark-ai-law/</w:t>
      </w:r>
      <w:r w:rsidRPr="00E56C1E">
        <w:rPr>
          <w:szCs w:val="20"/>
        </w:rPr>
        <w:t xml:space="preserve"> </w:t>
      </w:r>
      <w:r w:rsidR="00E72B7E">
        <w:rPr>
          <w:szCs w:val="20"/>
        </w:rPr>
        <w:t>[</w:t>
      </w:r>
      <w:r w:rsidR="00E72B7E" w:rsidRPr="00E72B7E">
        <w:rPr>
          <w:szCs w:val="20"/>
        </w:rPr>
        <w:t>https://perma.cc/PJ2T-X76F</w:t>
      </w:r>
      <w:r w:rsidR="00E72B7E">
        <w:rPr>
          <w:szCs w:val="20"/>
        </w:rPr>
        <w:t xml:space="preserve">] </w:t>
      </w:r>
      <w:r w:rsidRPr="00E56C1E">
        <w:rPr>
          <w:szCs w:val="20"/>
        </w:rPr>
        <w:t>(last visited Dec. 13, 2024).</w:t>
      </w:r>
    </w:p>
  </w:footnote>
  <w:footnote w:id="136">
    <w:p w14:paraId="089FDE23"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37">
    <w:p w14:paraId="2ED0CCA7" w14:textId="4B807D40" w:rsidR="00E56C1E" w:rsidRPr="00E56C1E" w:rsidRDefault="00E56C1E" w:rsidP="00E56C1E">
      <w:pPr>
        <w:pStyle w:val="FootNote"/>
      </w:pPr>
      <w:r w:rsidRPr="00E56C1E">
        <w:tab/>
      </w:r>
      <w:r w:rsidRPr="00E56C1E">
        <w:rPr>
          <w:rStyle w:val="NoterefInNote"/>
        </w:rPr>
        <w:footnoteRef/>
      </w:r>
      <w:r w:rsidRPr="00E56C1E">
        <w:t>.</w:t>
      </w:r>
      <w:r w:rsidRPr="00E56C1E">
        <w:tab/>
      </w:r>
      <w:r w:rsidRPr="00B0752C">
        <w:rPr>
          <w:smallCaps/>
          <w:szCs w:val="20"/>
        </w:rPr>
        <w:t xml:space="preserve"> Eu</w:t>
      </w:r>
      <w:r w:rsidR="00095BBB" w:rsidRPr="00B0752C">
        <w:rPr>
          <w:smallCaps/>
          <w:szCs w:val="20"/>
        </w:rPr>
        <w:t>r.</w:t>
      </w:r>
      <w:r w:rsidRPr="00B0752C">
        <w:rPr>
          <w:smallCaps/>
          <w:szCs w:val="20"/>
        </w:rPr>
        <w:t xml:space="preserve"> Union Agency for Fundamental </w:t>
      </w:r>
      <w:proofErr w:type="spellStart"/>
      <w:r w:rsidRPr="00B0752C">
        <w:rPr>
          <w:smallCaps/>
          <w:szCs w:val="20"/>
        </w:rPr>
        <w:t>Rts</w:t>
      </w:r>
      <w:proofErr w:type="spellEnd"/>
      <w:r w:rsidR="00B0752C">
        <w:rPr>
          <w:smallCaps/>
          <w:szCs w:val="20"/>
        </w:rPr>
        <w:t>.</w:t>
      </w:r>
      <w:r w:rsidRPr="00B0752C">
        <w:rPr>
          <w:smallCaps/>
          <w:szCs w:val="20"/>
        </w:rPr>
        <w:t xml:space="preserve">, Bias in Algorithms: Ensuring Fundamental Rights in the Digital Age </w:t>
      </w:r>
      <w:r w:rsidR="00095BBB" w:rsidRPr="00B0752C">
        <w:rPr>
          <w:smallCaps/>
          <w:szCs w:val="20"/>
        </w:rPr>
        <w:t xml:space="preserve">8 </w:t>
      </w:r>
      <w:r w:rsidRPr="00B0752C">
        <w:rPr>
          <w:smallCaps/>
          <w:szCs w:val="20"/>
        </w:rPr>
        <w:t>(2022)</w:t>
      </w:r>
      <w:r w:rsidR="00A356C7" w:rsidRPr="00B0752C">
        <w:rPr>
          <w:smallCaps/>
          <w:szCs w:val="20"/>
        </w:rPr>
        <w:t>.</w:t>
      </w:r>
    </w:p>
  </w:footnote>
  <w:footnote w:id="138">
    <w:p w14:paraId="275065C0" w14:textId="50BEB30B"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r w:rsidRPr="00E56C1E">
        <w:rPr>
          <w:szCs w:val="20"/>
        </w:rPr>
        <w:t>at 4</w:t>
      </w:r>
      <w:r w:rsidR="00A356C7">
        <w:rPr>
          <w:szCs w:val="20"/>
        </w:rPr>
        <w:t>3-4</w:t>
      </w:r>
      <w:r w:rsidRPr="00E56C1E">
        <w:rPr>
          <w:szCs w:val="20"/>
        </w:rPr>
        <w:t>4.</w:t>
      </w:r>
    </w:p>
  </w:footnote>
  <w:footnote w:id="139">
    <w:p w14:paraId="5655DA93"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r w:rsidRPr="00E56C1E">
        <w:rPr>
          <w:szCs w:val="20"/>
        </w:rPr>
        <w:t>at 11.</w:t>
      </w:r>
    </w:p>
  </w:footnote>
  <w:footnote w:id="140">
    <w:p w14:paraId="0D2AC729"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r w:rsidRPr="00E56C1E">
        <w:rPr>
          <w:szCs w:val="20"/>
        </w:rPr>
        <w:t>at 13.</w:t>
      </w:r>
    </w:p>
  </w:footnote>
  <w:footnote w:id="141">
    <w:p w14:paraId="3C87A15D"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r w:rsidRPr="00E56C1E">
        <w:rPr>
          <w:szCs w:val="20"/>
        </w:rPr>
        <w:t>. at 14.</w:t>
      </w:r>
    </w:p>
  </w:footnote>
  <w:footnote w:id="142">
    <w:p w14:paraId="6DB45A5B" w14:textId="2DC8D75D"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Council of the European Union, Artificial Intelligence (AI) Act:</w:t>
      </w:r>
      <w:r w:rsidRPr="00E56C1E">
        <w:rPr>
          <w:i/>
          <w:szCs w:val="20"/>
        </w:rPr>
        <w:t xml:space="preserve"> Council Gives Final Green Light to the First Worldwide Rules on AI, Press Release</w:t>
      </w:r>
      <w:r w:rsidRPr="00E56C1E">
        <w:rPr>
          <w:szCs w:val="20"/>
        </w:rPr>
        <w:t xml:space="preserve"> (May 21, 2024), </w:t>
      </w:r>
      <w:hyperlink r:id="rId4" w:history="1">
        <w:r w:rsidR="000507B6" w:rsidRPr="00227AE9">
          <w:rPr>
            <w:rStyle w:val="Hyperlink"/>
            <w:szCs w:val="20"/>
          </w:rPr>
          <w:t>https://www.consilium.europa.eu/en/press/press-releases/2024/05/21/artificial-intelligence-ai-act-council-gives-final-green-light-to-the-first-worldwide-rules-on-ai/</w:t>
        </w:r>
      </w:hyperlink>
      <w:r w:rsidR="000507B6">
        <w:rPr>
          <w:szCs w:val="20"/>
        </w:rPr>
        <w:t xml:space="preserve"> [</w:t>
      </w:r>
      <w:r w:rsidR="000507B6" w:rsidRPr="000507B6">
        <w:rPr>
          <w:szCs w:val="20"/>
        </w:rPr>
        <w:t>https://perma.cc/7YQY-FYKH</w:t>
      </w:r>
      <w:r w:rsidR="000507B6">
        <w:rPr>
          <w:szCs w:val="20"/>
        </w:rPr>
        <w:t xml:space="preserve">] </w:t>
      </w:r>
      <w:r w:rsidRPr="00E56C1E">
        <w:rPr>
          <w:szCs w:val="20"/>
        </w:rPr>
        <w:t>(last visited Dec. 13, 2024).</w:t>
      </w:r>
    </w:p>
  </w:footnote>
  <w:footnote w:id="143">
    <w:p w14:paraId="53F9B42E"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44">
    <w:p w14:paraId="66948B11"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45">
    <w:p w14:paraId="3766154E" w14:textId="61D346B0" w:rsidR="00E56C1E" w:rsidRPr="00E56C1E" w:rsidRDefault="00E56C1E" w:rsidP="00E56C1E">
      <w:pPr>
        <w:pStyle w:val="FootNote"/>
        <w:rPr>
          <w:i/>
        </w:rPr>
      </w:pPr>
      <w:r w:rsidRPr="00E56C1E">
        <w:tab/>
      </w:r>
      <w:r w:rsidRPr="00E56C1E">
        <w:rPr>
          <w:rStyle w:val="NoterefInNote"/>
        </w:rPr>
        <w:footnoteRef/>
      </w:r>
      <w:r w:rsidRPr="00E56C1E">
        <w:t>.</w:t>
      </w:r>
      <w:r w:rsidRPr="00E56C1E">
        <w:tab/>
      </w:r>
      <w:r w:rsidR="005A0222">
        <w:t>Alex Krasodomski &amp; Marjorie Buscher</w:t>
      </w:r>
      <w:r w:rsidRPr="00E56C1E">
        <w:rPr>
          <w:szCs w:val="20"/>
        </w:rPr>
        <w:t>,</w:t>
      </w:r>
      <w:r w:rsidRPr="00E56C1E">
        <w:rPr>
          <w:i/>
          <w:szCs w:val="20"/>
        </w:rPr>
        <w:t xml:space="preserve"> The EU</w:t>
      </w:r>
      <w:r>
        <w:rPr>
          <w:i/>
          <w:szCs w:val="20"/>
        </w:rPr>
        <w:t>’</w:t>
      </w:r>
      <w:r w:rsidRPr="00E56C1E">
        <w:rPr>
          <w:i/>
          <w:szCs w:val="20"/>
        </w:rPr>
        <w:t>s New AI Act Could Have a Global Impact</w:t>
      </w:r>
      <w:r w:rsidRPr="00E56C1E">
        <w:rPr>
          <w:szCs w:val="20"/>
        </w:rPr>
        <w:t xml:space="preserve">, </w:t>
      </w:r>
      <w:r w:rsidR="005A0222">
        <w:rPr>
          <w:smallCaps/>
          <w:szCs w:val="20"/>
        </w:rPr>
        <w:t xml:space="preserve">Chatham House </w:t>
      </w:r>
      <w:r w:rsidRPr="00E56C1E">
        <w:rPr>
          <w:szCs w:val="20"/>
        </w:rPr>
        <w:t xml:space="preserve">(Mar. 2024), </w:t>
      </w:r>
      <w:r w:rsidR="000507B6" w:rsidRPr="00E56C1E">
        <w:rPr>
          <w:color w:val="1155CC"/>
          <w:szCs w:val="20"/>
          <w:u w:val="single"/>
        </w:rPr>
        <w:t>https://www.chathamhouse.org/2024/03/eus-new-ai-act-could-have-global-impact/</w:t>
      </w:r>
      <w:r w:rsidRPr="00E56C1E">
        <w:rPr>
          <w:szCs w:val="20"/>
        </w:rPr>
        <w:t xml:space="preserve"> </w:t>
      </w:r>
      <w:r w:rsidR="00227AE9">
        <w:rPr>
          <w:szCs w:val="20"/>
        </w:rPr>
        <w:t>[</w:t>
      </w:r>
      <w:r w:rsidR="00227AE9" w:rsidRPr="00227AE9">
        <w:rPr>
          <w:szCs w:val="20"/>
        </w:rPr>
        <w:t>https://perma.cc/LZW9-Z77W</w:t>
      </w:r>
      <w:r w:rsidR="00227AE9">
        <w:rPr>
          <w:szCs w:val="20"/>
        </w:rPr>
        <w:t xml:space="preserve">] </w:t>
      </w:r>
      <w:r w:rsidRPr="00E56C1E">
        <w:rPr>
          <w:szCs w:val="20"/>
        </w:rPr>
        <w:t>(last visited Dec. 13, 2024).</w:t>
      </w:r>
    </w:p>
  </w:footnote>
  <w:footnote w:id="146">
    <w:p w14:paraId="486AA1A5"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Emil Dai, </w:t>
      </w:r>
      <w:r w:rsidRPr="00E56C1E">
        <w:rPr>
          <w:i/>
          <w:szCs w:val="20"/>
        </w:rPr>
        <w:t>Germany Says No to Predictive Policing: The Rule of Law Challenges Posed by Algorithms</w:t>
      </w:r>
      <w:r w:rsidRPr="00E56C1E">
        <w:rPr>
          <w:szCs w:val="20"/>
        </w:rPr>
        <w:t xml:space="preserve">, </w:t>
      </w:r>
      <w:r w:rsidRPr="00B0752C">
        <w:rPr>
          <w:smallCaps/>
          <w:szCs w:val="20"/>
        </w:rPr>
        <w:t>EmilDai.eu</w:t>
      </w:r>
      <w:r w:rsidRPr="00E56C1E">
        <w:rPr>
          <w:szCs w:val="20"/>
        </w:rPr>
        <w:t xml:space="preserve"> (Feb. 16, 2023)</w:t>
      </w:r>
    </w:p>
  </w:footnote>
  <w:footnote w:id="147">
    <w:p w14:paraId="7868D1B0" w14:textId="77777777" w:rsidR="00E56C1E" w:rsidRPr="00E56C1E" w:rsidRDefault="00E56C1E" w:rsidP="00E56C1E">
      <w:pPr>
        <w:pStyle w:val="FootNote"/>
        <w:rPr>
          <w:i/>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p>
  </w:footnote>
  <w:footnote w:id="148">
    <w:p w14:paraId="2D95F561" w14:textId="3574AC97" w:rsidR="00E56C1E" w:rsidRPr="00E56C1E" w:rsidRDefault="00E56C1E" w:rsidP="00E56C1E">
      <w:pPr>
        <w:pStyle w:val="FootNote"/>
        <w:rPr>
          <w:szCs w:val="16"/>
        </w:rPr>
      </w:pPr>
      <w:r w:rsidRPr="00E56C1E">
        <w:tab/>
      </w:r>
      <w:r w:rsidRPr="00E56C1E">
        <w:rPr>
          <w:rStyle w:val="NoterefInNote"/>
        </w:rPr>
        <w:footnoteRef/>
      </w:r>
      <w:r w:rsidRPr="00E56C1E">
        <w:t>.</w:t>
      </w:r>
      <w:r w:rsidRPr="00E56C1E">
        <w:tab/>
      </w:r>
      <w:r w:rsidRPr="00E56C1E">
        <w:rPr>
          <w:szCs w:val="20"/>
        </w:rPr>
        <w:t xml:space="preserve"> </w:t>
      </w:r>
      <w:r w:rsidR="005A0222">
        <w:rPr>
          <w:szCs w:val="20"/>
        </w:rPr>
        <w:t xml:space="preserve">Rachel More, </w:t>
      </w:r>
      <w:r w:rsidRPr="00E56C1E">
        <w:rPr>
          <w:i/>
          <w:szCs w:val="20"/>
        </w:rPr>
        <w:t>German Police Use Software to Fight Crime Unlawful, Court Says</w:t>
      </w:r>
      <w:r w:rsidRPr="00E56C1E">
        <w:rPr>
          <w:szCs w:val="20"/>
        </w:rPr>
        <w:t xml:space="preserve">, </w:t>
      </w:r>
      <w:r w:rsidRPr="00B0752C">
        <w:rPr>
          <w:smallCaps/>
          <w:szCs w:val="20"/>
        </w:rPr>
        <w:t>Reuters</w:t>
      </w:r>
      <w:r w:rsidRPr="00E56C1E">
        <w:rPr>
          <w:szCs w:val="20"/>
        </w:rPr>
        <w:t xml:space="preserve"> (Feb. 16, 2023), </w:t>
      </w:r>
      <w:hyperlink r:id="rId5" w:history="1">
        <w:r w:rsidR="00227AE9" w:rsidRPr="00227AE9">
          <w:rPr>
            <w:rStyle w:val="Hyperlink"/>
            <w:szCs w:val="20"/>
          </w:rPr>
          <w:t>https://www.reuters.com/technology/german-police-use-software-fight-crime-unlawful-court-says-2023-02-16/</w:t>
        </w:r>
      </w:hyperlink>
      <w:r w:rsidR="00227AE9">
        <w:rPr>
          <w:color w:val="1155CC"/>
          <w:szCs w:val="20"/>
          <w:u w:val="single"/>
        </w:rPr>
        <w:t xml:space="preserve"> [</w:t>
      </w:r>
      <w:r w:rsidR="00227AE9" w:rsidRPr="00227AE9">
        <w:rPr>
          <w:color w:val="1155CC"/>
          <w:szCs w:val="20"/>
          <w:u w:val="single"/>
        </w:rPr>
        <w:t>https://perma.cc/7KGZ-78PN</w:t>
      </w:r>
      <w:r w:rsidR="00227AE9">
        <w:rPr>
          <w:color w:val="1155CC"/>
          <w:szCs w:val="20"/>
          <w:u w:val="single"/>
        </w:rPr>
        <w:t>]</w:t>
      </w:r>
      <w:r w:rsidRPr="00E56C1E">
        <w:rPr>
          <w:szCs w:val="20"/>
        </w:rPr>
        <w:t>.</w:t>
      </w:r>
    </w:p>
  </w:footnote>
  <w:footnote w:id="149">
    <w:p w14:paraId="6F0A6F52"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50">
    <w:p w14:paraId="228238BB" w14:textId="5F55C158" w:rsidR="00E56C1E" w:rsidRPr="00B0752C" w:rsidRDefault="00E56C1E" w:rsidP="00E56C1E">
      <w:pPr>
        <w:pStyle w:val="FootNote"/>
        <w:rPr>
          <w:smallCaps/>
          <w:szCs w:val="16"/>
        </w:rPr>
      </w:pPr>
      <w:r w:rsidRPr="00E56C1E">
        <w:rPr>
          <w:szCs w:val="16"/>
        </w:rPr>
        <w:tab/>
      </w:r>
      <w:r w:rsidRPr="00E56C1E">
        <w:rPr>
          <w:rStyle w:val="NoterefInNote"/>
        </w:rPr>
        <w:footnoteRef/>
      </w:r>
      <w:r w:rsidRPr="00E56C1E">
        <w:rPr>
          <w:szCs w:val="16"/>
        </w:rPr>
        <w:t>.</w:t>
      </w:r>
      <w:r w:rsidRPr="00E56C1E">
        <w:rPr>
          <w:szCs w:val="16"/>
        </w:rPr>
        <w:tab/>
      </w:r>
      <w:r w:rsidRPr="00B0752C">
        <w:rPr>
          <w:smallCaps/>
          <w:szCs w:val="16"/>
        </w:rPr>
        <w:t xml:space="preserve"> </w:t>
      </w:r>
      <w:r w:rsidRPr="00B0752C">
        <w:rPr>
          <w:smallCaps/>
          <w:szCs w:val="20"/>
        </w:rPr>
        <w:t xml:space="preserve">Kai Seidensticker, Felix Bode &amp; Florian Stoffel, Predictive Policing in Germany </w:t>
      </w:r>
      <w:r w:rsidR="00095BBB" w:rsidRPr="00B0752C">
        <w:rPr>
          <w:smallCaps/>
          <w:szCs w:val="20"/>
        </w:rPr>
        <w:t xml:space="preserve">3 </w:t>
      </w:r>
      <w:r w:rsidRPr="00B0752C">
        <w:rPr>
          <w:smallCaps/>
          <w:szCs w:val="20"/>
        </w:rPr>
        <w:t>(2018)</w:t>
      </w:r>
      <w:r w:rsidR="00095BBB" w:rsidRPr="00B0752C">
        <w:rPr>
          <w:smallCaps/>
          <w:szCs w:val="20"/>
        </w:rPr>
        <w:t>.</w:t>
      </w:r>
    </w:p>
  </w:footnote>
  <w:footnote w:id="151">
    <w:p w14:paraId="2BBCBEE9"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r w:rsidRPr="00E56C1E">
        <w:rPr>
          <w:szCs w:val="20"/>
        </w:rPr>
        <w:t>at 3.</w:t>
      </w:r>
    </w:p>
  </w:footnote>
  <w:footnote w:id="152">
    <w:p w14:paraId="145945DC"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53">
    <w:p w14:paraId="1846CEB7"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r w:rsidRPr="00E56C1E">
        <w:rPr>
          <w:szCs w:val="20"/>
        </w:rPr>
        <w:t>at 4.</w:t>
      </w:r>
    </w:p>
  </w:footnote>
  <w:footnote w:id="154">
    <w:p w14:paraId="484CD35C"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55">
    <w:p w14:paraId="43C21829"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 xml:space="preserve">Id. </w:t>
      </w:r>
      <w:r w:rsidRPr="00E56C1E">
        <w:rPr>
          <w:szCs w:val="20"/>
        </w:rPr>
        <w:t>at 4-5.</w:t>
      </w:r>
    </w:p>
  </w:footnote>
  <w:footnote w:id="156">
    <w:p w14:paraId="0FF8E920" w14:textId="57BB092F" w:rsidR="00E56C1E" w:rsidRPr="00B0752C"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r w:rsidR="00A356C7">
        <w:rPr>
          <w:i/>
          <w:szCs w:val="20"/>
        </w:rPr>
        <w:t xml:space="preserve"> </w:t>
      </w:r>
      <w:r w:rsidR="00A356C7">
        <w:rPr>
          <w:iCs/>
          <w:szCs w:val="20"/>
        </w:rPr>
        <w:t>at 5.</w:t>
      </w:r>
    </w:p>
  </w:footnote>
  <w:footnote w:id="157">
    <w:p w14:paraId="12894AF7" w14:textId="1614F612" w:rsidR="00E56C1E" w:rsidRPr="00B0752C" w:rsidRDefault="00E56C1E" w:rsidP="00E56C1E">
      <w:pPr>
        <w:pStyle w:val="FootNote"/>
        <w:rPr>
          <w:smallCaps/>
        </w:rPr>
      </w:pPr>
      <w:r w:rsidRPr="00E56C1E">
        <w:tab/>
      </w:r>
      <w:r w:rsidRPr="00E56C1E">
        <w:rPr>
          <w:rStyle w:val="NoterefInNote"/>
        </w:rPr>
        <w:footnoteRef/>
      </w:r>
      <w:r w:rsidRPr="00E56C1E">
        <w:t>.</w:t>
      </w:r>
      <w:r w:rsidRPr="00E56C1E">
        <w:tab/>
      </w:r>
      <w:r w:rsidRPr="00E56C1E">
        <w:rPr>
          <w:szCs w:val="20"/>
        </w:rPr>
        <w:t xml:space="preserve"> </w:t>
      </w:r>
      <w:r w:rsidRPr="00B0752C">
        <w:rPr>
          <w:smallCaps/>
          <w:szCs w:val="20"/>
        </w:rPr>
        <w:t xml:space="preserve">Amelie Spell, The Use of Predictive Policing in German Law Enforcement: A Discourse Analysis </w:t>
      </w:r>
      <w:r w:rsidR="00095BBB" w:rsidRPr="00B0752C">
        <w:rPr>
          <w:smallCaps/>
          <w:szCs w:val="20"/>
        </w:rPr>
        <w:t xml:space="preserve">14 </w:t>
      </w:r>
      <w:r w:rsidRPr="00B0752C">
        <w:rPr>
          <w:smallCaps/>
          <w:szCs w:val="20"/>
        </w:rPr>
        <w:t>(2023)</w:t>
      </w:r>
      <w:r w:rsidR="00A356C7" w:rsidRPr="00B0752C">
        <w:rPr>
          <w:smallCaps/>
          <w:szCs w:val="20"/>
        </w:rPr>
        <w:t>.</w:t>
      </w:r>
    </w:p>
  </w:footnote>
  <w:footnote w:id="158">
    <w:p w14:paraId="5CB09410" w14:textId="05403338"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B0752C">
        <w:rPr>
          <w:smallCaps/>
          <w:szCs w:val="20"/>
        </w:rPr>
        <w:t>Seidensticker, Bode &amp; Stoffel</w:t>
      </w:r>
      <w:r w:rsidRPr="00E56C1E">
        <w:rPr>
          <w:szCs w:val="20"/>
        </w:rPr>
        <w:t xml:space="preserve">, </w:t>
      </w:r>
      <w:r w:rsidRPr="00E56C1E">
        <w:rPr>
          <w:i/>
          <w:szCs w:val="20"/>
        </w:rPr>
        <w:t>supra</w:t>
      </w:r>
      <w:r w:rsidRPr="00E56C1E">
        <w:rPr>
          <w:szCs w:val="20"/>
        </w:rPr>
        <w:t xml:space="preserve"> note 148</w:t>
      </w:r>
      <w:r w:rsidR="00A356C7">
        <w:rPr>
          <w:szCs w:val="20"/>
        </w:rPr>
        <w:t xml:space="preserve"> at 2.</w:t>
      </w:r>
    </w:p>
  </w:footnote>
  <w:footnote w:id="159">
    <w:p w14:paraId="103AFD33" w14:textId="4398314D"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B0752C">
        <w:rPr>
          <w:smallCaps/>
          <w:szCs w:val="20"/>
        </w:rPr>
        <w:t>Spell</w:t>
      </w:r>
      <w:r w:rsidRPr="00E56C1E">
        <w:rPr>
          <w:szCs w:val="20"/>
        </w:rPr>
        <w:t xml:space="preserve">, </w:t>
      </w:r>
      <w:r w:rsidRPr="00E56C1E">
        <w:rPr>
          <w:i/>
          <w:szCs w:val="20"/>
        </w:rPr>
        <w:t>supra</w:t>
      </w:r>
      <w:r w:rsidRPr="00E56C1E">
        <w:rPr>
          <w:szCs w:val="20"/>
        </w:rPr>
        <w:t xml:space="preserve"> note </w:t>
      </w:r>
      <w:r w:rsidR="00B86E43">
        <w:rPr>
          <w:szCs w:val="20"/>
        </w:rPr>
        <w:fldChar w:fldCharType="begin"/>
      </w:r>
      <w:r w:rsidR="00B86E43">
        <w:rPr>
          <w:szCs w:val="20"/>
        </w:rPr>
        <w:instrText xml:space="preserve"> NOTEREF _Ref191907365 \h </w:instrText>
      </w:r>
      <w:r w:rsidR="00B86E43">
        <w:rPr>
          <w:szCs w:val="20"/>
        </w:rPr>
      </w:r>
      <w:r w:rsidR="00B86E43">
        <w:rPr>
          <w:szCs w:val="20"/>
        </w:rPr>
        <w:fldChar w:fldCharType="separate"/>
      </w:r>
      <w:r w:rsidR="00B86E43">
        <w:rPr>
          <w:szCs w:val="20"/>
        </w:rPr>
        <w:t>155</w:t>
      </w:r>
      <w:r w:rsidR="00B86E43">
        <w:rPr>
          <w:szCs w:val="20"/>
        </w:rPr>
        <w:fldChar w:fldCharType="end"/>
      </w:r>
      <w:r w:rsidR="00B86E43">
        <w:rPr>
          <w:szCs w:val="20"/>
        </w:rPr>
        <w:t>,</w:t>
      </w:r>
      <w:r w:rsidRPr="00E56C1E">
        <w:rPr>
          <w:szCs w:val="20"/>
        </w:rPr>
        <w:t xml:space="preserve"> at 14</w:t>
      </w:r>
      <w:r w:rsidR="005A0222">
        <w:rPr>
          <w:szCs w:val="20"/>
        </w:rPr>
        <w:t>.</w:t>
      </w:r>
    </w:p>
  </w:footnote>
  <w:footnote w:id="160">
    <w:p w14:paraId="4BF5ED83" w14:textId="77777777" w:rsidR="00E56C1E" w:rsidRPr="00E56C1E" w:rsidRDefault="00E56C1E" w:rsidP="00E56C1E">
      <w:pPr>
        <w:pStyle w:val="FootNote"/>
        <w:rPr>
          <w:b/>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61">
    <w:p w14:paraId="342D33CE"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62">
    <w:p w14:paraId="74AEB887"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63">
    <w:p w14:paraId="116543F5" w14:textId="1894B561"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Meghan Herbst, </w:t>
      </w:r>
      <w:r w:rsidRPr="00E56C1E">
        <w:rPr>
          <w:i/>
          <w:szCs w:val="20"/>
        </w:rPr>
        <w:t>Germany Puts the Brakes on Palantir,</w:t>
      </w:r>
      <w:r w:rsidRPr="00E56C1E">
        <w:rPr>
          <w:szCs w:val="20"/>
        </w:rPr>
        <w:t xml:space="preserve"> </w:t>
      </w:r>
      <w:r w:rsidRPr="00B0752C">
        <w:rPr>
          <w:smallCaps/>
          <w:szCs w:val="20"/>
        </w:rPr>
        <w:t>Wired</w:t>
      </w:r>
      <w:r w:rsidRPr="00E56C1E">
        <w:rPr>
          <w:szCs w:val="20"/>
        </w:rPr>
        <w:t xml:space="preserve"> (Feb. 16, 2023), </w:t>
      </w:r>
      <w:r w:rsidR="00E72B7E" w:rsidRPr="00E56C1E">
        <w:rPr>
          <w:color w:val="1155CC"/>
          <w:szCs w:val="20"/>
          <w:u w:val="single"/>
        </w:rPr>
        <w:t>https://www.wired.com/story/palantir-germany-gotham-dragnet/</w:t>
      </w:r>
      <w:r w:rsidR="00E72B7E">
        <w:t xml:space="preserve"> [</w:t>
      </w:r>
      <w:r w:rsidR="00E72B7E" w:rsidRPr="00E72B7E">
        <w:t>https://perma.cc/W6JU-2DEB</w:t>
      </w:r>
      <w:r w:rsidR="00E72B7E">
        <w:t>]</w:t>
      </w:r>
      <w:r w:rsidR="00B86E43">
        <w:rPr>
          <w:color w:val="1155CC"/>
          <w:szCs w:val="20"/>
          <w:u w:val="single"/>
        </w:rPr>
        <w:t>.</w:t>
      </w:r>
      <w:r w:rsidRPr="00E56C1E">
        <w:rPr>
          <w:szCs w:val="20"/>
        </w:rPr>
        <w:t xml:space="preserve"> </w:t>
      </w:r>
    </w:p>
  </w:footnote>
  <w:footnote w:id="164">
    <w:p w14:paraId="058209F0"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65">
    <w:p w14:paraId="2285A09F" w14:textId="60B96ECC"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Meena, supra</w:t>
      </w:r>
      <w:r w:rsidRPr="00E56C1E">
        <w:rPr>
          <w:szCs w:val="20"/>
        </w:rPr>
        <w:t xml:space="preserve"> note 112</w:t>
      </w:r>
      <w:r w:rsidR="00B86E43">
        <w:rPr>
          <w:szCs w:val="20"/>
        </w:rPr>
        <w:t>,</w:t>
      </w:r>
      <w:r w:rsidRPr="00E56C1E">
        <w:rPr>
          <w:szCs w:val="20"/>
        </w:rPr>
        <w:t xml:space="preserve"> at 187</w:t>
      </w:r>
      <w:r w:rsidR="00385462">
        <w:rPr>
          <w:szCs w:val="20"/>
        </w:rPr>
        <w:t xml:space="preserve"> (describing ethical concerns attributed to situations where the algorithm incorrectly identifies someone and makes a false arrests).</w:t>
      </w:r>
    </w:p>
  </w:footnote>
  <w:footnote w:id="166">
    <w:p w14:paraId="38482202" w14:textId="69114D5F"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00B86E43" w:rsidRPr="00B86E43">
        <w:t xml:space="preserve"> </w:t>
      </w:r>
      <w:r w:rsidR="00B86E43">
        <w:rPr>
          <w:i/>
          <w:iCs/>
        </w:rPr>
        <w:t xml:space="preserve">See generally </w:t>
      </w:r>
      <w:r w:rsidR="00B86E43" w:rsidRPr="00B86E43">
        <w:rPr>
          <w:szCs w:val="20"/>
        </w:rPr>
        <w:t xml:space="preserve">William Simpson, </w:t>
      </w:r>
      <w:r w:rsidR="00B86E43" w:rsidRPr="00B0752C">
        <w:rPr>
          <w:i/>
          <w:iCs/>
          <w:szCs w:val="20"/>
        </w:rPr>
        <w:t>AI Regulatory Enforcement Around the World</w:t>
      </w:r>
      <w:r w:rsidR="00B86E43" w:rsidRPr="00B86E43">
        <w:rPr>
          <w:szCs w:val="20"/>
        </w:rPr>
        <w:t xml:space="preserve">, Int'l </w:t>
      </w:r>
      <w:proofErr w:type="spellStart"/>
      <w:r w:rsidR="00B86E43" w:rsidRPr="00B86E43">
        <w:rPr>
          <w:szCs w:val="20"/>
        </w:rPr>
        <w:t>Ass'n</w:t>
      </w:r>
      <w:proofErr w:type="spellEnd"/>
      <w:r w:rsidR="00B86E43" w:rsidRPr="00B86E43">
        <w:rPr>
          <w:szCs w:val="20"/>
        </w:rPr>
        <w:t xml:space="preserve"> of Privacy Pros. (Aug. 2, 2023), </w:t>
      </w:r>
      <w:r w:rsidR="00E72B7E" w:rsidRPr="007615B9">
        <w:t>https://iapp.org/news/a/ai-regulatory-enforcement-around-the-world</w:t>
      </w:r>
      <w:r w:rsidR="00B86E43">
        <w:rPr>
          <w:szCs w:val="20"/>
        </w:rPr>
        <w:t xml:space="preserve"> </w:t>
      </w:r>
      <w:r w:rsidR="00E72B7E">
        <w:rPr>
          <w:szCs w:val="20"/>
        </w:rPr>
        <w:t>[</w:t>
      </w:r>
      <w:r w:rsidR="00E72B7E" w:rsidRPr="00E72B7E">
        <w:rPr>
          <w:szCs w:val="20"/>
        </w:rPr>
        <w:t>https://perma.cc/MS7G-NEDB</w:t>
      </w:r>
      <w:r w:rsidR="00E72B7E">
        <w:rPr>
          <w:szCs w:val="20"/>
        </w:rPr>
        <w:t xml:space="preserve">] </w:t>
      </w:r>
      <w:r w:rsidR="00B86E43">
        <w:rPr>
          <w:szCs w:val="20"/>
        </w:rPr>
        <w:t>(comparing different country’s AI enforcement strategies and legislative approach</w:t>
      </w:r>
      <w:r w:rsidR="0050307F">
        <w:rPr>
          <w:szCs w:val="20"/>
        </w:rPr>
        <w:t>.</w:t>
      </w:r>
    </w:p>
  </w:footnote>
  <w:footnote w:id="167">
    <w:p w14:paraId="07726248"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68">
    <w:p w14:paraId="32DF3DAB"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69">
    <w:p w14:paraId="6047A98D" w14:textId="520C5D64"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Hoofnagle et al., </w:t>
      </w:r>
      <w:r w:rsidRPr="00E56C1E">
        <w:rPr>
          <w:i/>
          <w:szCs w:val="20"/>
        </w:rPr>
        <w:t xml:space="preserve">supra </w:t>
      </w:r>
      <w:r w:rsidRPr="00E56C1E">
        <w:rPr>
          <w:szCs w:val="20"/>
        </w:rPr>
        <w:t xml:space="preserve">note </w:t>
      </w:r>
      <w:r w:rsidR="00B86E43">
        <w:rPr>
          <w:szCs w:val="20"/>
        </w:rPr>
        <w:fldChar w:fldCharType="begin"/>
      </w:r>
      <w:r w:rsidR="00B86E43">
        <w:rPr>
          <w:szCs w:val="20"/>
        </w:rPr>
        <w:instrText xml:space="preserve"> NOTEREF _Ref191907406 \h </w:instrText>
      </w:r>
      <w:r w:rsidR="00B86E43">
        <w:rPr>
          <w:szCs w:val="20"/>
        </w:rPr>
      </w:r>
      <w:r w:rsidR="00B86E43">
        <w:rPr>
          <w:szCs w:val="20"/>
        </w:rPr>
        <w:fldChar w:fldCharType="separate"/>
      </w:r>
      <w:r w:rsidR="00B86E43">
        <w:rPr>
          <w:szCs w:val="20"/>
        </w:rPr>
        <w:t>126</w:t>
      </w:r>
      <w:r w:rsidR="00B86E43">
        <w:rPr>
          <w:szCs w:val="20"/>
        </w:rPr>
        <w:fldChar w:fldCharType="end"/>
      </w:r>
      <w:r w:rsidR="00B86E43">
        <w:rPr>
          <w:szCs w:val="20"/>
        </w:rPr>
        <w:t>, at 67</w:t>
      </w:r>
      <w:r w:rsidRPr="00E56C1E">
        <w:rPr>
          <w:szCs w:val="20"/>
        </w:rPr>
        <w:t>.</w:t>
      </w:r>
      <w:r w:rsidR="00B86E43">
        <w:rPr>
          <w:szCs w:val="20"/>
        </w:rPr>
        <w:t xml:space="preserve"> </w:t>
      </w:r>
    </w:p>
  </w:footnote>
  <w:footnote w:id="170">
    <w:p w14:paraId="644E8D82" w14:textId="3F679B32"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r w:rsidR="00B86E43">
        <w:rPr>
          <w:i/>
          <w:iCs/>
          <w:szCs w:val="20"/>
        </w:rPr>
        <w:t>.</w:t>
      </w:r>
      <w:r w:rsidRPr="00E56C1E">
        <w:rPr>
          <w:szCs w:val="20"/>
        </w:rPr>
        <w:t xml:space="preserve"> at 76. </w:t>
      </w:r>
    </w:p>
  </w:footnote>
  <w:footnote w:id="171">
    <w:p w14:paraId="74B9E5F9" w14:textId="65E1C77B"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00B86E43">
        <w:rPr>
          <w:szCs w:val="20"/>
        </w:rPr>
        <w:t xml:space="preserve">Krasodomski et. </w:t>
      </w:r>
      <w:proofErr w:type="spellStart"/>
      <w:proofErr w:type="gramStart"/>
      <w:r w:rsidR="00B86E43">
        <w:rPr>
          <w:szCs w:val="20"/>
        </w:rPr>
        <w:t>al,</w:t>
      </w:r>
      <w:r w:rsidRPr="00E56C1E">
        <w:rPr>
          <w:i/>
          <w:szCs w:val="20"/>
        </w:rPr>
        <w:t>supra</w:t>
      </w:r>
      <w:proofErr w:type="spellEnd"/>
      <w:proofErr w:type="gramEnd"/>
      <w:r w:rsidRPr="00E56C1E">
        <w:rPr>
          <w:i/>
          <w:szCs w:val="20"/>
        </w:rPr>
        <w:t xml:space="preserve"> </w:t>
      </w:r>
      <w:r w:rsidRPr="00E56C1E">
        <w:rPr>
          <w:szCs w:val="20"/>
        </w:rPr>
        <w:t>note</w:t>
      </w:r>
      <w:r w:rsidR="00B86E43">
        <w:rPr>
          <w:szCs w:val="20"/>
        </w:rPr>
        <w:fldChar w:fldCharType="begin"/>
      </w:r>
      <w:r w:rsidR="00B86E43">
        <w:rPr>
          <w:szCs w:val="20"/>
        </w:rPr>
        <w:instrText xml:space="preserve"> NOTEREF _Ref191907621 \h </w:instrText>
      </w:r>
      <w:r w:rsidR="00B86E43">
        <w:rPr>
          <w:szCs w:val="20"/>
        </w:rPr>
      </w:r>
      <w:r w:rsidR="00B86E43">
        <w:rPr>
          <w:szCs w:val="20"/>
        </w:rPr>
        <w:fldChar w:fldCharType="separate"/>
      </w:r>
      <w:r w:rsidR="00B86E43">
        <w:rPr>
          <w:szCs w:val="20"/>
        </w:rPr>
        <w:t>143</w:t>
      </w:r>
      <w:r w:rsidR="00B86E43">
        <w:rPr>
          <w:szCs w:val="20"/>
        </w:rPr>
        <w:fldChar w:fldCharType="end"/>
      </w:r>
      <w:r w:rsidRPr="00E56C1E">
        <w:rPr>
          <w:szCs w:val="20"/>
        </w:rPr>
        <w:t>.</w:t>
      </w:r>
      <w:r w:rsidR="00B86E43">
        <w:rPr>
          <w:szCs w:val="20"/>
        </w:rPr>
        <w:t xml:space="preserve"> </w:t>
      </w:r>
    </w:p>
  </w:footnote>
  <w:footnote w:id="172">
    <w:p w14:paraId="6A1F3DD7" w14:textId="280619B8"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r w:rsidR="00B86E43">
        <w:rPr>
          <w:i/>
          <w:szCs w:val="20"/>
        </w:rPr>
        <w:t xml:space="preserve"> </w:t>
      </w:r>
    </w:p>
  </w:footnote>
  <w:footnote w:id="173">
    <w:p w14:paraId="48CCAE42" w14:textId="6858879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00B86E43" w:rsidRPr="00B86E43">
        <w:t xml:space="preserve"> </w:t>
      </w:r>
      <w:r w:rsidR="00B86E43" w:rsidRPr="00B0752C">
        <w:rPr>
          <w:i/>
          <w:iCs/>
        </w:rPr>
        <w:t>I</w:t>
      </w:r>
      <w:r w:rsidR="00B86E43" w:rsidRPr="00B0752C">
        <w:rPr>
          <w:i/>
          <w:iCs/>
          <w:szCs w:val="20"/>
        </w:rPr>
        <w:t>NTERPOL &amp; UNICRI Release Blueprint for Responsible Use of AI By Law Enforcement</w:t>
      </w:r>
      <w:r w:rsidR="00B86E43" w:rsidRPr="00B86E43">
        <w:rPr>
          <w:szCs w:val="20"/>
        </w:rPr>
        <w:t xml:space="preserve">, </w:t>
      </w:r>
      <w:r w:rsidR="00B86E43" w:rsidRPr="00B0752C">
        <w:rPr>
          <w:smallCaps/>
          <w:szCs w:val="20"/>
        </w:rPr>
        <w:t xml:space="preserve">Interpol </w:t>
      </w:r>
      <w:r w:rsidR="00B86E43" w:rsidRPr="00B86E43">
        <w:rPr>
          <w:szCs w:val="20"/>
        </w:rPr>
        <w:t xml:space="preserve">(Jun. 8, 2023), </w:t>
      </w:r>
      <w:hyperlink r:id="rId6" w:history="1">
        <w:r w:rsidR="00E72B7E" w:rsidRPr="00E72B7E">
          <w:rPr>
            <w:rStyle w:val="Hyperlink"/>
            <w:szCs w:val="20"/>
          </w:rPr>
          <w:t>https://www.interpol.int/en/News-and-Events/News/2023/INTERPOL-and-UNICRI-release-blueprint-for-responsible-use-of-AI-by-law-enforcement</w:t>
        </w:r>
      </w:hyperlink>
      <w:r w:rsidR="00E72B7E">
        <w:rPr>
          <w:szCs w:val="20"/>
        </w:rPr>
        <w:t xml:space="preserve"> [</w:t>
      </w:r>
      <w:r w:rsidR="00E72B7E" w:rsidRPr="00E72B7E">
        <w:rPr>
          <w:szCs w:val="20"/>
        </w:rPr>
        <w:t>https://perma.cc/VJ2L-K943</w:t>
      </w:r>
      <w:r w:rsidR="00E72B7E">
        <w:rPr>
          <w:szCs w:val="20"/>
        </w:rPr>
        <w:t>]</w:t>
      </w:r>
      <w:r w:rsidR="00B86E43">
        <w:rPr>
          <w:szCs w:val="20"/>
        </w:rPr>
        <w:t xml:space="preserve">. </w:t>
      </w:r>
    </w:p>
  </w:footnote>
  <w:footnote w:id="174">
    <w:p w14:paraId="01FA2FAC"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75">
    <w:p w14:paraId="79DB754F" w14:textId="77777777" w:rsidR="00E56C1E" w:rsidRPr="00E56C1E" w:rsidRDefault="00E56C1E" w:rsidP="00E56C1E">
      <w:pPr>
        <w:pStyle w:val="FootNote"/>
        <w:rPr>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76">
    <w:p w14:paraId="0B54A1F1" w14:textId="6A1249C6"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Ferguson, </w:t>
      </w:r>
      <w:r w:rsidRPr="00E56C1E">
        <w:rPr>
          <w:i/>
          <w:szCs w:val="20"/>
        </w:rPr>
        <w:t>supra</w:t>
      </w:r>
      <w:r w:rsidRPr="00E56C1E">
        <w:rPr>
          <w:szCs w:val="20"/>
        </w:rPr>
        <w:t xml:space="preserve"> note </w:t>
      </w:r>
      <w:r w:rsidR="00B86E43">
        <w:rPr>
          <w:szCs w:val="20"/>
        </w:rPr>
        <w:fldChar w:fldCharType="begin"/>
      </w:r>
      <w:r w:rsidR="00B86E43">
        <w:rPr>
          <w:szCs w:val="20"/>
        </w:rPr>
        <w:instrText xml:space="preserve"> NOTEREF _Ref191907460 \h </w:instrText>
      </w:r>
      <w:r w:rsidR="00B86E43">
        <w:rPr>
          <w:szCs w:val="20"/>
        </w:rPr>
      </w:r>
      <w:r w:rsidR="00B86E43">
        <w:rPr>
          <w:szCs w:val="20"/>
        </w:rPr>
        <w:fldChar w:fldCharType="separate"/>
      </w:r>
      <w:r w:rsidR="00B86E43">
        <w:rPr>
          <w:szCs w:val="20"/>
        </w:rPr>
        <w:t>69</w:t>
      </w:r>
      <w:r w:rsidR="00B86E43">
        <w:rPr>
          <w:szCs w:val="20"/>
        </w:rPr>
        <w:fldChar w:fldCharType="end"/>
      </w:r>
      <w:r w:rsidRPr="00E56C1E">
        <w:rPr>
          <w:szCs w:val="20"/>
        </w:rPr>
        <w:t>, at 63.</w:t>
      </w:r>
      <w:r w:rsidR="00B86E43">
        <w:rPr>
          <w:szCs w:val="20"/>
        </w:rPr>
        <w:t xml:space="preserve"> </w:t>
      </w:r>
    </w:p>
  </w:footnote>
  <w:footnote w:id="177">
    <w:p w14:paraId="1DB361E2"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78">
    <w:p w14:paraId="78F6B067" w14:textId="3B51C7C2"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Shapiro, </w:t>
      </w:r>
      <w:r w:rsidRPr="00E56C1E">
        <w:rPr>
          <w:i/>
          <w:szCs w:val="20"/>
        </w:rPr>
        <w:t>supra</w:t>
      </w:r>
      <w:r w:rsidRPr="00E56C1E">
        <w:rPr>
          <w:szCs w:val="20"/>
        </w:rPr>
        <w:t xml:space="preserve"> note </w:t>
      </w:r>
      <w:r w:rsidR="00B86E43">
        <w:rPr>
          <w:szCs w:val="20"/>
        </w:rPr>
        <w:fldChar w:fldCharType="begin"/>
      </w:r>
      <w:r w:rsidR="00B86E43">
        <w:rPr>
          <w:szCs w:val="20"/>
        </w:rPr>
        <w:instrText xml:space="preserve"> NOTEREF _Ref191907488 \h </w:instrText>
      </w:r>
      <w:r w:rsidR="00B86E43">
        <w:rPr>
          <w:szCs w:val="20"/>
        </w:rPr>
      </w:r>
      <w:r w:rsidR="00B86E43">
        <w:rPr>
          <w:szCs w:val="20"/>
        </w:rPr>
        <w:fldChar w:fldCharType="separate"/>
      </w:r>
      <w:r w:rsidR="00B86E43">
        <w:rPr>
          <w:szCs w:val="20"/>
        </w:rPr>
        <w:t>20</w:t>
      </w:r>
      <w:r w:rsidR="00B86E43">
        <w:rPr>
          <w:szCs w:val="20"/>
        </w:rPr>
        <w:fldChar w:fldCharType="end"/>
      </w:r>
      <w:r w:rsidR="00B86E43">
        <w:rPr>
          <w:szCs w:val="20"/>
        </w:rPr>
        <w:t>, at 459</w:t>
      </w:r>
      <w:r w:rsidRPr="00E56C1E">
        <w:rPr>
          <w:szCs w:val="20"/>
        </w:rPr>
        <w:t>.</w:t>
      </w:r>
    </w:p>
  </w:footnote>
  <w:footnote w:id="179">
    <w:p w14:paraId="4C147221"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80">
    <w:p w14:paraId="177CE471" w14:textId="392B452C"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Mugari and Obioha, </w:t>
      </w:r>
      <w:r w:rsidRPr="00E56C1E">
        <w:rPr>
          <w:i/>
          <w:szCs w:val="20"/>
        </w:rPr>
        <w:t>supra</w:t>
      </w:r>
      <w:r w:rsidRPr="00E56C1E">
        <w:rPr>
          <w:szCs w:val="20"/>
        </w:rPr>
        <w:t xml:space="preserve"> note </w:t>
      </w:r>
      <w:r w:rsidR="00B86E43">
        <w:rPr>
          <w:szCs w:val="20"/>
        </w:rPr>
        <w:fldChar w:fldCharType="begin"/>
      </w:r>
      <w:r w:rsidR="00B86E43">
        <w:rPr>
          <w:szCs w:val="20"/>
        </w:rPr>
        <w:instrText xml:space="preserve"> NOTEREF _Ref191907519 \h </w:instrText>
      </w:r>
      <w:r w:rsidR="00B86E43">
        <w:rPr>
          <w:szCs w:val="20"/>
        </w:rPr>
      </w:r>
      <w:r w:rsidR="00B86E43">
        <w:rPr>
          <w:szCs w:val="20"/>
        </w:rPr>
        <w:fldChar w:fldCharType="separate"/>
      </w:r>
      <w:r w:rsidR="00B86E43">
        <w:rPr>
          <w:szCs w:val="20"/>
        </w:rPr>
        <w:t>1</w:t>
      </w:r>
      <w:r w:rsidR="00B86E43">
        <w:rPr>
          <w:szCs w:val="20"/>
        </w:rPr>
        <w:fldChar w:fldCharType="end"/>
      </w:r>
      <w:r w:rsidR="00B86E43">
        <w:rPr>
          <w:szCs w:val="20"/>
        </w:rPr>
        <w:t>,</w:t>
      </w:r>
      <w:r w:rsidRPr="00E56C1E">
        <w:rPr>
          <w:szCs w:val="20"/>
        </w:rPr>
        <w:t xml:space="preserve"> at 11.</w:t>
      </w:r>
      <w:r w:rsidR="00B86E43" w:rsidRPr="00B86E43">
        <w:rPr>
          <w:szCs w:val="20"/>
          <w:highlight w:val="yellow"/>
        </w:rPr>
        <w:t xml:space="preserve"> </w:t>
      </w:r>
    </w:p>
  </w:footnote>
  <w:footnote w:id="181">
    <w:p w14:paraId="1A1D2852"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82">
    <w:p w14:paraId="38864F51"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83">
    <w:p w14:paraId="75EAE0E6"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84">
    <w:p w14:paraId="37B9FFB2"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85">
    <w:p w14:paraId="133A2CBE" w14:textId="523AEF2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Perry, </w:t>
      </w:r>
      <w:r w:rsidRPr="00095BBB">
        <w:rPr>
          <w:i/>
        </w:rPr>
        <w:t>supra</w:t>
      </w:r>
      <w:r w:rsidRPr="00E56C1E">
        <w:rPr>
          <w:szCs w:val="20"/>
        </w:rPr>
        <w:t xml:space="preserve"> note </w:t>
      </w:r>
      <w:r w:rsidR="00B86E43">
        <w:rPr>
          <w:szCs w:val="20"/>
        </w:rPr>
        <w:fldChar w:fldCharType="begin"/>
      </w:r>
      <w:r w:rsidR="00B86E43">
        <w:rPr>
          <w:szCs w:val="20"/>
        </w:rPr>
        <w:instrText xml:space="preserve"> NOTEREF _Ref191907204 \h </w:instrText>
      </w:r>
      <w:r w:rsidR="00B86E43">
        <w:rPr>
          <w:szCs w:val="20"/>
        </w:rPr>
      </w:r>
      <w:r w:rsidR="00B86E43">
        <w:rPr>
          <w:szCs w:val="20"/>
        </w:rPr>
        <w:fldChar w:fldCharType="separate"/>
      </w:r>
      <w:r w:rsidR="00B86E43">
        <w:rPr>
          <w:szCs w:val="20"/>
        </w:rPr>
        <w:t>4</w:t>
      </w:r>
      <w:r w:rsidR="00B86E43">
        <w:rPr>
          <w:szCs w:val="20"/>
        </w:rPr>
        <w:fldChar w:fldCharType="end"/>
      </w:r>
      <w:r w:rsidR="00B86E43">
        <w:rPr>
          <w:szCs w:val="20"/>
        </w:rPr>
        <w:t>, at 82</w:t>
      </w:r>
      <w:r w:rsidRPr="00E56C1E">
        <w:rPr>
          <w:szCs w:val="20"/>
        </w:rPr>
        <w:t>.</w:t>
      </w:r>
      <w:r w:rsidR="00B86E43">
        <w:rPr>
          <w:szCs w:val="20"/>
        </w:rPr>
        <w:t xml:space="preserve"> </w:t>
      </w:r>
    </w:p>
  </w:footnote>
  <w:footnote w:id="186">
    <w:p w14:paraId="63E3E6AD" w14:textId="40D16986"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Shapiro, </w:t>
      </w:r>
      <w:r w:rsidRPr="00E56C1E">
        <w:rPr>
          <w:i/>
          <w:szCs w:val="20"/>
        </w:rPr>
        <w:t>supra</w:t>
      </w:r>
      <w:r w:rsidRPr="00E56C1E">
        <w:rPr>
          <w:szCs w:val="20"/>
        </w:rPr>
        <w:t xml:space="preserve"> note </w:t>
      </w:r>
      <w:r w:rsidR="00B86E43">
        <w:rPr>
          <w:szCs w:val="20"/>
        </w:rPr>
        <w:fldChar w:fldCharType="begin"/>
      </w:r>
      <w:r w:rsidR="00B86E43">
        <w:rPr>
          <w:szCs w:val="20"/>
        </w:rPr>
        <w:instrText xml:space="preserve"> NOTEREF _Ref191907488 \h </w:instrText>
      </w:r>
      <w:r w:rsidR="00B86E43">
        <w:rPr>
          <w:szCs w:val="20"/>
        </w:rPr>
      </w:r>
      <w:r w:rsidR="00B86E43">
        <w:rPr>
          <w:szCs w:val="20"/>
        </w:rPr>
        <w:fldChar w:fldCharType="separate"/>
      </w:r>
      <w:r w:rsidR="00B86E43">
        <w:rPr>
          <w:szCs w:val="20"/>
        </w:rPr>
        <w:t>20</w:t>
      </w:r>
      <w:r w:rsidR="00B86E43">
        <w:rPr>
          <w:szCs w:val="20"/>
        </w:rPr>
        <w:fldChar w:fldCharType="end"/>
      </w:r>
      <w:r w:rsidR="00B86E43">
        <w:rPr>
          <w:szCs w:val="20"/>
        </w:rPr>
        <w:t>,</w:t>
      </w:r>
      <w:r w:rsidRPr="00E56C1E">
        <w:rPr>
          <w:szCs w:val="20"/>
        </w:rPr>
        <w:t xml:space="preserve"> at 459.</w:t>
      </w:r>
      <w:r w:rsidR="00B86E43">
        <w:rPr>
          <w:szCs w:val="20"/>
        </w:rPr>
        <w:t xml:space="preserve"> </w:t>
      </w:r>
    </w:p>
  </w:footnote>
  <w:footnote w:id="187">
    <w:p w14:paraId="72FDEAB7"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88">
    <w:p w14:paraId="4628B062" w14:textId="77777777"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p>
  </w:footnote>
  <w:footnote w:id="189">
    <w:p w14:paraId="7FB45D86" w14:textId="77777777" w:rsidR="00E56C1E" w:rsidRPr="00E56C1E" w:rsidRDefault="00E56C1E" w:rsidP="00E56C1E">
      <w:pPr>
        <w:pStyle w:val="FootNote"/>
      </w:pPr>
      <w:r w:rsidRPr="00E56C1E">
        <w:tab/>
      </w:r>
      <w:r w:rsidRPr="00E56C1E">
        <w:rPr>
          <w:rStyle w:val="NoterefInNote"/>
        </w:rPr>
        <w:footnoteRef/>
      </w:r>
      <w:r w:rsidRPr="00E56C1E">
        <w:t>.</w:t>
      </w:r>
      <w:r w:rsidRPr="00E56C1E">
        <w:tab/>
      </w:r>
      <w:r w:rsidRPr="00E56C1E">
        <w:rPr>
          <w:szCs w:val="20"/>
        </w:rPr>
        <w:t xml:space="preserve"> </w:t>
      </w:r>
      <w:r w:rsidRPr="00E56C1E">
        <w:rPr>
          <w:i/>
          <w:szCs w:val="20"/>
        </w:rPr>
        <w:t>Id.</w:t>
      </w:r>
      <w:r w:rsidRPr="00E56C1E">
        <w:rPr>
          <w:szCs w:val="20"/>
        </w:rPr>
        <w:t xml:space="preserve"> at 460.</w:t>
      </w:r>
    </w:p>
  </w:footnote>
  <w:footnote w:id="190">
    <w:p w14:paraId="4F768DAB" w14:textId="3528EDC8" w:rsidR="00E56C1E" w:rsidRPr="00E56C1E" w:rsidRDefault="00E56C1E" w:rsidP="00E56C1E">
      <w:pPr>
        <w:pStyle w:val="FootNote"/>
        <w:rPr>
          <w:i/>
          <w:szCs w:val="20"/>
        </w:rPr>
      </w:pPr>
      <w:r w:rsidRPr="00E56C1E">
        <w:tab/>
      </w:r>
      <w:r w:rsidRPr="00E56C1E">
        <w:rPr>
          <w:rStyle w:val="NoterefInNote"/>
        </w:rPr>
        <w:footnoteRef/>
      </w:r>
      <w:r w:rsidRPr="00E56C1E">
        <w:t>.</w:t>
      </w:r>
      <w:r w:rsidRPr="00E56C1E">
        <w:tab/>
      </w:r>
      <w:r w:rsidRPr="00E56C1E">
        <w:rPr>
          <w:szCs w:val="20"/>
        </w:rPr>
        <w:t xml:space="preserve"> </w:t>
      </w:r>
      <w:r w:rsidR="00B86E43">
        <w:rPr>
          <w:i/>
          <w:iCs/>
          <w:szCs w:val="20"/>
        </w:rPr>
        <w:t xml:space="preserve">See </w:t>
      </w:r>
      <w:r w:rsidR="00B86E43">
        <w:rPr>
          <w:i/>
          <w:szCs w:val="20"/>
        </w:rPr>
        <w:t>i</w:t>
      </w:r>
      <w:r w:rsidRPr="00E56C1E">
        <w:rPr>
          <w:i/>
          <w:szCs w:val="20"/>
        </w:rPr>
        <w: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1E3B" w14:textId="2EFFA890" w:rsidR="00E56C1E" w:rsidRPr="00D4552A" w:rsidRDefault="00864DAD" w:rsidP="00FC6A7A">
    <w:pPr>
      <w:pStyle w:val="header0"/>
    </w:pPr>
    <w:r>
      <w:t>Hahn note formatted</w:t>
    </w:r>
    <w:r w:rsidR="00E56C1E" w:rsidRPr="00D4552A">
      <w:tab/>
    </w:r>
    <w:r>
      <w:fldChar w:fldCharType="begin"/>
    </w:r>
    <w:r>
      <w:instrText>DATE</w:instrText>
    </w:r>
    <w:r>
      <w:fldChar w:fldCharType="separate"/>
    </w:r>
    <w:r w:rsidR="006E0AB3">
      <w:rPr>
        <w:noProof/>
      </w:rPr>
      <w:t>7/14/25</w:t>
    </w:r>
    <w:r>
      <w:fldChar w:fldCharType="end"/>
    </w:r>
    <w:r w:rsidR="00E56C1E" w:rsidRPr="00D4552A">
      <w:t xml:space="preserve">  </w:t>
    </w:r>
    <w:r>
      <w:fldChar w:fldCharType="begin"/>
    </w:r>
    <w:r>
      <w:instrText>TIME</w:instrText>
    </w:r>
    <w:r>
      <w:fldChar w:fldCharType="separate"/>
    </w:r>
    <w:r w:rsidR="006E0AB3">
      <w:rPr>
        <w:noProof/>
      </w:rPr>
      <w:t>9:11 PM</w:t>
    </w:r>
    <w:r>
      <w:fldChar w:fldCharType="end"/>
    </w:r>
  </w:p>
  <w:p w14:paraId="280B0FAF" w14:textId="77777777" w:rsidR="00E56C1E" w:rsidRPr="00D4552A" w:rsidRDefault="00E56C1E">
    <w:pPr>
      <w:pStyle w:val="Header"/>
      <w:tabs>
        <w:tab w:val="clear" w:pos="4320"/>
        <w:tab w:val="clear" w:pos="8640"/>
        <w:tab w:val="left" w:pos="0"/>
        <w:tab w:val="right" w:pos="5400"/>
        <w:tab w:val="right" w:pos="6480"/>
      </w:tabs>
      <w:spacing w:before="720" w:after="360" w:line="200" w:lineRule="exact"/>
      <w:jc w:val="both"/>
    </w:pPr>
    <w:r w:rsidRPr="00D4552A">
      <w:rPr>
        <w:rStyle w:val="PageNumber"/>
        <w:sz w:val="21"/>
        <w:szCs w:val="21"/>
      </w:rPr>
      <w:fldChar w:fldCharType="begin"/>
    </w:r>
    <w:r w:rsidRPr="00D4552A">
      <w:rPr>
        <w:rStyle w:val="PageNumber"/>
        <w:sz w:val="21"/>
        <w:szCs w:val="21"/>
      </w:rPr>
      <w:instrText xml:space="preserve"> PAGE </w:instrText>
    </w:r>
    <w:r w:rsidRPr="00D4552A">
      <w:rPr>
        <w:rStyle w:val="PageNumber"/>
        <w:sz w:val="21"/>
        <w:szCs w:val="21"/>
      </w:rPr>
      <w:fldChar w:fldCharType="separate"/>
    </w:r>
    <w:r w:rsidRPr="00D4552A">
      <w:rPr>
        <w:rStyle w:val="PageNumber"/>
        <w:noProof/>
        <w:sz w:val="21"/>
        <w:szCs w:val="21"/>
      </w:rPr>
      <w:t>104</w:t>
    </w:r>
    <w:r w:rsidRPr="00D4552A">
      <w:rPr>
        <w:rStyle w:val="PageNumber"/>
        <w:sz w:val="21"/>
        <w:szCs w:val="21"/>
      </w:rPr>
      <w:fldChar w:fldCharType="end"/>
    </w:r>
    <w:r w:rsidRPr="00D4552A">
      <w:rPr>
        <w:rStyle w:val="PageNumber"/>
        <w:sz w:val="21"/>
      </w:rPr>
      <w:tab/>
    </w:r>
    <w:r w:rsidRPr="00D4552A">
      <w:rPr>
        <w:rStyle w:val="PageNumber"/>
        <w:i/>
        <w:sz w:val="21"/>
      </w:rPr>
      <w:t>Cornell International Law Journal</w:t>
    </w:r>
    <w:r w:rsidRPr="00D4552A">
      <w:rPr>
        <w:rStyle w:val="PageNumber"/>
        <w:i/>
        <w:sz w:val="21"/>
      </w:rPr>
      <w:tab/>
      <w:t>Vol. NN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C381" w14:textId="6BB4D2D2" w:rsidR="00E56C1E" w:rsidRPr="00D4552A" w:rsidRDefault="00864DAD" w:rsidP="00FC6A7A">
    <w:pPr>
      <w:pStyle w:val="header0"/>
    </w:pPr>
    <w:r>
      <w:t>Hahn note formatted</w:t>
    </w:r>
    <w:r w:rsidR="00E56C1E" w:rsidRPr="00D4552A">
      <w:tab/>
    </w:r>
    <w:r>
      <w:fldChar w:fldCharType="begin"/>
    </w:r>
    <w:r>
      <w:instrText>DATE</w:instrText>
    </w:r>
    <w:r>
      <w:fldChar w:fldCharType="separate"/>
    </w:r>
    <w:r w:rsidR="006E0AB3">
      <w:rPr>
        <w:noProof/>
      </w:rPr>
      <w:t>7/14/25</w:t>
    </w:r>
    <w:r>
      <w:fldChar w:fldCharType="end"/>
    </w:r>
    <w:r w:rsidR="00E56C1E" w:rsidRPr="00D4552A">
      <w:t xml:space="preserve">  </w:t>
    </w:r>
    <w:r>
      <w:fldChar w:fldCharType="begin"/>
    </w:r>
    <w:r>
      <w:instrText>TIME</w:instrText>
    </w:r>
    <w:r>
      <w:fldChar w:fldCharType="separate"/>
    </w:r>
    <w:r w:rsidR="006E0AB3">
      <w:rPr>
        <w:noProof/>
      </w:rPr>
      <w:t>9:11 PM</w:t>
    </w:r>
    <w:r>
      <w:fldChar w:fldCharType="end"/>
    </w:r>
  </w:p>
  <w:p w14:paraId="5059386D" w14:textId="77777777" w:rsidR="00E56C1E" w:rsidRPr="00D4552A" w:rsidRDefault="00E56C1E">
    <w:pPr>
      <w:pStyle w:val="Header"/>
      <w:tabs>
        <w:tab w:val="clear" w:pos="4320"/>
        <w:tab w:val="clear" w:pos="8640"/>
        <w:tab w:val="left" w:pos="0"/>
        <w:tab w:val="left" w:pos="840"/>
        <w:tab w:val="right" w:pos="6480"/>
      </w:tabs>
      <w:spacing w:before="720" w:after="360" w:line="200" w:lineRule="exact"/>
      <w:jc w:val="both"/>
      <w:rPr>
        <w:szCs w:val="21"/>
      </w:rPr>
    </w:pPr>
    <w:r w:rsidRPr="00D4552A">
      <w:rPr>
        <w:i/>
        <w:sz w:val="21"/>
      </w:rPr>
      <w:t>20</w:t>
    </w:r>
    <w:r w:rsidR="00864DAD">
      <w:rPr>
        <w:i/>
        <w:sz w:val="21"/>
      </w:rPr>
      <w:t>25</w:t>
    </w:r>
    <w:r w:rsidRPr="00D4552A">
      <w:rPr>
        <w:i/>
        <w:sz w:val="21"/>
      </w:rPr>
      <w:tab/>
    </w:r>
    <w:r w:rsidR="00864DAD">
      <w:rPr>
        <w:i/>
        <w:sz w:val="21"/>
      </w:rPr>
      <w:t>Predictive Policing</w:t>
    </w:r>
    <w:r w:rsidRPr="00D4552A">
      <w:rPr>
        <w:i/>
        <w:sz w:val="21"/>
      </w:rPr>
      <w:tab/>
    </w:r>
    <w:r w:rsidRPr="00D4552A">
      <w:rPr>
        <w:rStyle w:val="PageNumber"/>
        <w:sz w:val="21"/>
        <w:szCs w:val="21"/>
      </w:rPr>
      <w:fldChar w:fldCharType="begin"/>
    </w:r>
    <w:r w:rsidRPr="00D4552A">
      <w:rPr>
        <w:rStyle w:val="PageNumber"/>
        <w:sz w:val="21"/>
        <w:szCs w:val="21"/>
      </w:rPr>
      <w:instrText xml:space="preserve"> PAGE </w:instrText>
    </w:r>
    <w:r w:rsidRPr="00D4552A">
      <w:rPr>
        <w:rStyle w:val="PageNumber"/>
        <w:sz w:val="21"/>
        <w:szCs w:val="21"/>
      </w:rPr>
      <w:fldChar w:fldCharType="separate"/>
    </w:r>
    <w:r w:rsidRPr="00D4552A">
      <w:rPr>
        <w:rStyle w:val="PageNumber"/>
        <w:noProof/>
        <w:sz w:val="21"/>
        <w:szCs w:val="21"/>
      </w:rPr>
      <w:t>103</w:t>
    </w:r>
    <w:r w:rsidRPr="00D4552A">
      <w:rPr>
        <w:rStyle w:val="PageNumber"/>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3A13" w14:textId="169739A3" w:rsidR="00E56C1E" w:rsidRPr="00D4552A" w:rsidRDefault="00864DAD" w:rsidP="00FC6A7A">
    <w:pPr>
      <w:pStyle w:val="header0"/>
    </w:pPr>
    <w:r>
      <w:t>Hahn note formatted</w:t>
    </w:r>
    <w:r w:rsidR="00E56C1E" w:rsidRPr="00D4552A">
      <w:tab/>
    </w:r>
    <w:r>
      <w:fldChar w:fldCharType="begin"/>
    </w:r>
    <w:r>
      <w:instrText>DATE</w:instrText>
    </w:r>
    <w:r>
      <w:fldChar w:fldCharType="separate"/>
    </w:r>
    <w:r w:rsidR="006E0AB3">
      <w:rPr>
        <w:noProof/>
      </w:rPr>
      <w:t>7/14/25</w:t>
    </w:r>
    <w:r>
      <w:fldChar w:fldCharType="end"/>
    </w:r>
    <w:r w:rsidR="00E56C1E" w:rsidRPr="00D4552A">
      <w:t xml:space="preserve"> </w:t>
    </w:r>
    <w:r>
      <w:fldChar w:fldCharType="begin"/>
    </w:r>
    <w:r>
      <w:instrText>TIME</w:instrText>
    </w:r>
    <w:r>
      <w:fldChar w:fldCharType="separate"/>
    </w:r>
    <w:r w:rsidR="006E0AB3">
      <w:rPr>
        <w:noProof/>
      </w:rPr>
      <w:t>9:11 PM</w:t>
    </w:r>
    <w:r>
      <w:fldChar w:fldCharType="end"/>
    </w:r>
  </w:p>
  <w:p w14:paraId="6A05A809" w14:textId="77777777" w:rsidR="00E56C1E" w:rsidRPr="00D4552A" w:rsidRDefault="00E56C1E">
    <w:pPr>
      <w:pStyle w:val="Header"/>
      <w:tabs>
        <w:tab w:val="clear" w:pos="4320"/>
        <w:tab w:val="clear" w:pos="8640"/>
        <w:tab w:val="right" w:pos="6480"/>
      </w:tabs>
      <w:spacing w:before="720" w:after="360" w:line="200" w:lineRule="exac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68E5"/>
    <w:multiLevelType w:val="multilevel"/>
    <w:tmpl w:val="ACC48E3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E653A6"/>
    <w:multiLevelType w:val="multilevel"/>
    <w:tmpl w:val="82487A6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99186864">
    <w:abstractNumId w:val="0"/>
  </w:num>
  <w:num w:numId="2" w16cid:durableId="2830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consecutiveHyphenLimit w:val="3"/>
  <w:hyphenationZone w:val="280"/>
  <w:doNotHyphenateCaps/>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1E"/>
    <w:rsid w:val="0003609F"/>
    <w:rsid w:val="000507B6"/>
    <w:rsid w:val="000864A3"/>
    <w:rsid w:val="00095BBB"/>
    <w:rsid w:val="000B01FB"/>
    <w:rsid w:val="00140BAD"/>
    <w:rsid w:val="00154E00"/>
    <w:rsid w:val="00155216"/>
    <w:rsid w:val="001B1D34"/>
    <w:rsid w:val="001E1561"/>
    <w:rsid w:val="001F53AC"/>
    <w:rsid w:val="002013A2"/>
    <w:rsid w:val="00227AE9"/>
    <w:rsid w:val="00283FEA"/>
    <w:rsid w:val="00284948"/>
    <w:rsid w:val="0028582D"/>
    <w:rsid w:val="002C0441"/>
    <w:rsid w:val="002F4C03"/>
    <w:rsid w:val="00306C85"/>
    <w:rsid w:val="00317B15"/>
    <w:rsid w:val="003455F2"/>
    <w:rsid w:val="00350101"/>
    <w:rsid w:val="00351815"/>
    <w:rsid w:val="00380460"/>
    <w:rsid w:val="003804F3"/>
    <w:rsid w:val="00383B92"/>
    <w:rsid w:val="00385462"/>
    <w:rsid w:val="003A70AA"/>
    <w:rsid w:val="003C21B5"/>
    <w:rsid w:val="003D7F67"/>
    <w:rsid w:val="003E20D3"/>
    <w:rsid w:val="003E4F46"/>
    <w:rsid w:val="004007AD"/>
    <w:rsid w:val="0040180E"/>
    <w:rsid w:val="0041100A"/>
    <w:rsid w:val="004178EB"/>
    <w:rsid w:val="0044407D"/>
    <w:rsid w:val="0045454A"/>
    <w:rsid w:val="00481A57"/>
    <w:rsid w:val="004878AE"/>
    <w:rsid w:val="00495DB2"/>
    <w:rsid w:val="0050307F"/>
    <w:rsid w:val="0053091F"/>
    <w:rsid w:val="00556245"/>
    <w:rsid w:val="00557E1E"/>
    <w:rsid w:val="00567851"/>
    <w:rsid w:val="00583196"/>
    <w:rsid w:val="005943B6"/>
    <w:rsid w:val="005A0222"/>
    <w:rsid w:val="005A78EA"/>
    <w:rsid w:val="005B02F2"/>
    <w:rsid w:val="005B2AF5"/>
    <w:rsid w:val="005C52CC"/>
    <w:rsid w:val="00631274"/>
    <w:rsid w:val="00656135"/>
    <w:rsid w:val="006659CD"/>
    <w:rsid w:val="00667E91"/>
    <w:rsid w:val="006C65CE"/>
    <w:rsid w:val="006E0AB3"/>
    <w:rsid w:val="006E31A1"/>
    <w:rsid w:val="006F246C"/>
    <w:rsid w:val="006F39FF"/>
    <w:rsid w:val="0073782C"/>
    <w:rsid w:val="007615B9"/>
    <w:rsid w:val="007629DB"/>
    <w:rsid w:val="00766BFC"/>
    <w:rsid w:val="00772DE4"/>
    <w:rsid w:val="0078656A"/>
    <w:rsid w:val="007866A6"/>
    <w:rsid w:val="007918F7"/>
    <w:rsid w:val="00795BD0"/>
    <w:rsid w:val="007A14B7"/>
    <w:rsid w:val="007A1C90"/>
    <w:rsid w:val="007A2E09"/>
    <w:rsid w:val="007A71E7"/>
    <w:rsid w:val="007C2FAB"/>
    <w:rsid w:val="007E1041"/>
    <w:rsid w:val="008617C7"/>
    <w:rsid w:val="00864DAD"/>
    <w:rsid w:val="00896DE4"/>
    <w:rsid w:val="00911ED8"/>
    <w:rsid w:val="00916F29"/>
    <w:rsid w:val="00971A5B"/>
    <w:rsid w:val="00985B1B"/>
    <w:rsid w:val="00990579"/>
    <w:rsid w:val="009972ED"/>
    <w:rsid w:val="009C50F6"/>
    <w:rsid w:val="009E7A7A"/>
    <w:rsid w:val="00A03553"/>
    <w:rsid w:val="00A356C7"/>
    <w:rsid w:val="00A8219D"/>
    <w:rsid w:val="00AD3BB8"/>
    <w:rsid w:val="00AE1D8F"/>
    <w:rsid w:val="00B0752C"/>
    <w:rsid w:val="00B12985"/>
    <w:rsid w:val="00B40964"/>
    <w:rsid w:val="00B53BB4"/>
    <w:rsid w:val="00B86E43"/>
    <w:rsid w:val="00C07BB7"/>
    <w:rsid w:val="00C157CE"/>
    <w:rsid w:val="00C40261"/>
    <w:rsid w:val="00CE6E9B"/>
    <w:rsid w:val="00D4551C"/>
    <w:rsid w:val="00D4552A"/>
    <w:rsid w:val="00D71055"/>
    <w:rsid w:val="00DA5E06"/>
    <w:rsid w:val="00DC0EC7"/>
    <w:rsid w:val="00DC422E"/>
    <w:rsid w:val="00E23BE8"/>
    <w:rsid w:val="00E2401A"/>
    <w:rsid w:val="00E56C1E"/>
    <w:rsid w:val="00E72B7E"/>
    <w:rsid w:val="00EA3B6F"/>
    <w:rsid w:val="00EC2621"/>
    <w:rsid w:val="00EC6496"/>
    <w:rsid w:val="00F1435F"/>
    <w:rsid w:val="00F35812"/>
    <w:rsid w:val="00F52CE5"/>
    <w:rsid w:val="00F82390"/>
    <w:rsid w:val="00F86E37"/>
    <w:rsid w:val="00FB75E1"/>
    <w:rsid w:val="00FC6A7A"/>
    <w:rsid w:val="00FD38C7"/>
    <w:rsid w:val="4661E5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F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83FEA"/>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font">
    <w:name w:val="_Journal font"/>
    <w:qFormat/>
    <w:rsid w:val="003455F2"/>
    <w:pPr>
      <w:widowControl w:val="0"/>
      <w:spacing w:line="240" w:lineRule="exact"/>
      <w:jc w:val="both"/>
    </w:pPr>
    <w:rPr>
      <w:sz w:val="21"/>
      <w:szCs w:val="21"/>
    </w:rPr>
  </w:style>
  <w:style w:type="paragraph" w:customStyle="1" w:styleId="Document">
    <w:name w:val="_Document"/>
    <w:basedOn w:val="Journalfont"/>
    <w:link w:val="DocumentChar"/>
    <w:qFormat/>
    <w:rsid w:val="00283FEA"/>
    <w:pPr>
      <w:suppressLineNumbers/>
      <w:tabs>
        <w:tab w:val="left" w:pos="0"/>
        <w:tab w:val="left" w:pos="400"/>
        <w:tab w:val="left" w:pos="620"/>
      </w:tabs>
      <w:spacing w:before="20"/>
      <w:ind w:firstLine="400"/>
    </w:pPr>
  </w:style>
  <w:style w:type="paragraph" w:styleId="Header">
    <w:name w:val="header"/>
    <w:basedOn w:val="Normal"/>
    <w:rsid w:val="003455F2"/>
    <w:pPr>
      <w:tabs>
        <w:tab w:val="center" w:pos="4320"/>
        <w:tab w:val="right" w:pos="8640"/>
      </w:tabs>
    </w:pPr>
    <w:rPr>
      <w:sz w:val="19"/>
    </w:rPr>
  </w:style>
  <w:style w:type="paragraph" w:styleId="Footer">
    <w:name w:val="footer"/>
    <w:basedOn w:val="Normal"/>
    <w:rsid w:val="003455F2"/>
    <w:pPr>
      <w:tabs>
        <w:tab w:val="center" w:pos="4320"/>
        <w:tab w:val="right" w:pos="8640"/>
      </w:tabs>
    </w:pPr>
  </w:style>
  <w:style w:type="character" w:styleId="PageNumber">
    <w:name w:val="page number"/>
    <w:basedOn w:val="DefaultParagraphFont"/>
    <w:rsid w:val="003455F2"/>
  </w:style>
  <w:style w:type="paragraph" w:customStyle="1" w:styleId="FootNote">
    <w:name w:val="_FootNote"/>
    <w:basedOn w:val="Document"/>
    <w:link w:val="FootNoteChar"/>
    <w:qFormat/>
    <w:rsid w:val="003455F2"/>
    <w:pPr>
      <w:tabs>
        <w:tab w:val="clear" w:pos="0"/>
        <w:tab w:val="clear" w:pos="400"/>
        <w:tab w:val="clear" w:pos="620"/>
        <w:tab w:val="right" w:pos="480"/>
        <w:tab w:val="left" w:pos="600"/>
      </w:tabs>
      <w:spacing w:line="190" w:lineRule="exact"/>
      <w:ind w:firstLine="0"/>
    </w:pPr>
    <w:rPr>
      <w:sz w:val="18"/>
    </w:rPr>
  </w:style>
  <w:style w:type="paragraph" w:customStyle="1" w:styleId="FootNotePara">
    <w:name w:val="_FootNotePara"/>
    <w:basedOn w:val="FootNote"/>
    <w:qFormat/>
    <w:rsid w:val="003455F2"/>
    <w:pPr>
      <w:ind w:firstLine="320"/>
    </w:pPr>
  </w:style>
  <w:style w:type="character" w:customStyle="1" w:styleId="NoterefInText">
    <w:name w:val="_NoterefInText"/>
    <w:basedOn w:val="DefaultParagraphFont"/>
    <w:qFormat/>
    <w:rsid w:val="003455F2"/>
    <w:rPr>
      <w:rFonts w:ascii="Times New Roman" w:hAnsi="Times New Roman"/>
      <w:sz w:val="20"/>
      <w:szCs w:val="20"/>
      <w:vertAlign w:val="superscript"/>
    </w:rPr>
  </w:style>
  <w:style w:type="character" w:customStyle="1" w:styleId="NoterefInNote">
    <w:name w:val="_NoterefInNote"/>
    <w:basedOn w:val="DefaultParagraphFont"/>
    <w:qFormat/>
    <w:rsid w:val="003455F2"/>
    <w:rPr>
      <w:rFonts w:ascii="Times New Roman" w:hAnsi="Times New Roman"/>
      <w:sz w:val="17"/>
      <w:szCs w:val="17"/>
      <w:vertAlign w:val="baseline"/>
    </w:rPr>
  </w:style>
  <w:style w:type="paragraph" w:customStyle="1" w:styleId="1StQuoteFN">
    <w:name w:val="_1StQuoteFN"/>
    <w:basedOn w:val="FootNote"/>
    <w:next w:val="FootNote"/>
    <w:link w:val="1StQuoteFNChar"/>
    <w:qFormat/>
    <w:rsid w:val="003455F2"/>
    <w:pPr>
      <w:tabs>
        <w:tab w:val="clear" w:pos="480"/>
        <w:tab w:val="clear" w:pos="600"/>
        <w:tab w:val="left" w:pos="680"/>
      </w:tabs>
      <w:ind w:left="320" w:right="320"/>
    </w:pPr>
    <w:rPr>
      <w:szCs w:val="18"/>
    </w:rPr>
  </w:style>
  <w:style w:type="paragraph" w:customStyle="1" w:styleId="2NdQuoteFN">
    <w:name w:val="_2NdQuoteFN"/>
    <w:basedOn w:val="FootNote"/>
    <w:next w:val="FootNote"/>
    <w:qFormat/>
    <w:rsid w:val="003455F2"/>
    <w:pPr>
      <w:tabs>
        <w:tab w:val="clear" w:pos="480"/>
        <w:tab w:val="clear" w:pos="600"/>
        <w:tab w:val="left" w:pos="1020"/>
      </w:tabs>
      <w:spacing w:before="0"/>
      <w:ind w:left="640" w:right="320"/>
    </w:pPr>
    <w:rPr>
      <w:szCs w:val="18"/>
    </w:rPr>
  </w:style>
  <w:style w:type="paragraph" w:customStyle="1" w:styleId="3RdQuoteFN">
    <w:name w:val="_3RdQuoteFN"/>
    <w:basedOn w:val="FootNote"/>
    <w:next w:val="FootNote"/>
    <w:qFormat/>
    <w:rsid w:val="003455F2"/>
    <w:pPr>
      <w:tabs>
        <w:tab w:val="clear" w:pos="480"/>
        <w:tab w:val="clear" w:pos="600"/>
        <w:tab w:val="left" w:pos="1360"/>
      </w:tabs>
      <w:spacing w:before="0"/>
      <w:ind w:left="960" w:right="320"/>
    </w:pPr>
    <w:rPr>
      <w:szCs w:val="18"/>
    </w:rPr>
  </w:style>
  <w:style w:type="paragraph" w:customStyle="1" w:styleId="4ThQuoteFN">
    <w:name w:val="_4ThQuoteFN"/>
    <w:basedOn w:val="FootNote"/>
    <w:next w:val="FootNote"/>
    <w:qFormat/>
    <w:rsid w:val="003455F2"/>
    <w:pPr>
      <w:tabs>
        <w:tab w:val="clear" w:pos="480"/>
        <w:tab w:val="clear" w:pos="600"/>
        <w:tab w:val="left" w:pos="1700"/>
      </w:tabs>
      <w:spacing w:before="0"/>
      <w:ind w:left="1280" w:right="320"/>
    </w:pPr>
    <w:rPr>
      <w:szCs w:val="18"/>
    </w:rPr>
  </w:style>
  <w:style w:type="paragraph" w:customStyle="1" w:styleId="1StQuoteTXT">
    <w:name w:val="_1StQuoteTXT"/>
    <w:basedOn w:val="Document"/>
    <w:next w:val="Document"/>
    <w:rsid w:val="003455F2"/>
    <w:pPr>
      <w:tabs>
        <w:tab w:val="clear" w:pos="400"/>
      </w:tabs>
      <w:spacing w:before="120" w:after="100" w:line="210" w:lineRule="exact"/>
      <w:ind w:left="240" w:right="240" w:firstLine="0"/>
    </w:pPr>
    <w:rPr>
      <w:sz w:val="18"/>
      <w:szCs w:val="18"/>
    </w:rPr>
  </w:style>
  <w:style w:type="paragraph" w:customStyle="1" w:styleId="2NdQuoteTXT">
    <w:name w:val="_2NdQuoteTXT"/>
    <w:basedOn w:val="Document"/>
    <w:next w:val="Document"/>
    <w:qFormat/>
    <w:rsid w:val="003455F2"/>
    <w:pPr>
      <w:tabs>
        <w:tab w:val="clear" w:pos="400"/>
        <w:tab w:val="clear" w:pos="620"/>
        <w:tab w:val="left" w:pos="780"/>
      </w:tabs>
      <w:spacing w:before="0" w:after="100" w:line="210" w:lineRule="exact"/>
      <w:ind w:left="640" w:right="320" w:firstLine="0"/>
    </w:pPr>
    <w:rPr>
      <w:sz w:val="18"/>
      <w:szCs w:val="18"/>
    </w:rPr>
  </w:style>
  <w:style w:type="paragraph" w:customStyle="1" w:styleId="3RdQuoteTXT">
    <w:name w:val="_3RdQuoteTXT"/>
    <w:basedOn w:val="Document"/>
    <w:next w:val="Document"/>
    <w:qFormat/>
    <w:rsid w:val="003455F2"/>
    <w:pPr>
      <w:tabs>
        <w:tab w:val="clear" w:pos="0"/>
        <w:tab w:val="clear" w:pos="400"/>
        <w:tab w:val="clear" w:pos="620"/>
        <w:tab w:val="left" w:pos="1040"/>
      </w:tabs>
      <w:spacing w:before="0" w:after="100" w:line="210" w:lineRule="exact"/>
      <w:ind w:left="720" w:right="240" w:firstLine="0"/>
    </w:pPr>
    <w:rPr>
      <w:sz w:val="18"/>
      <w:szCs w:val="18"/>
    </w:rPr>
  </w:style>
  <w:style w:type="paragraph" w:customStyle="1" w:styleId="4ThQuoteTXT">
    <w:name w:val="_4ThQuoteTXT"/>
    <w:basedOn w:val="Document"/>
    <w:next w:val="Document"/>
    <w:qFormat/>
    <w:rsid w:val="003455F2"/>
    <w:pPr>
      <w:tabs>
        <w:tab w:val="clear" w:pos="0"/>
        <w:tab w:val="clear" w:pos="400"/>
        <w:tab w:val="clear" w:pos="620"/>
        <w:tab w:val="left" w:pos="1300"/>
      </w:tabs>
      <w:spacing w:before="0" w:after="100" w:line="210" w:lineRule="exact"/>
      <w:ind w:left="960" w:right="240" w:firstLine="0"/>
    </w:pPr>
    <w:rPr>
      <w:sz w:val="18"/>
      <w:szCs w:val="18"/>
    </w:rPr>
  </w:style>
  <w:style w:type="paragraph" w:customStyle="1" w:styleId="Toc0">
    <w:name w:val="_Toc0"/>
    <w:basedOn w:val="Document"/>
    <w:next w:val="Document"/>
    <w:qFormat/>
    <w:rsid w:val="003455F2"/>
    <w:pPr>
      <w:tabs>
        <w:tab w:val="clear" w:pos="0"/>
        <w:tab w:val="clear" w:pos="400"/>
        <w:tab w:val="clear" w:pos="620"/>
        <w:tab w:val="right" w:leader="dot" w:pos="6480"/>
      </w:tabs>
      <w:spacing w:before="0"/>
      <w:ind w:right="440" w:firstLine="0"/>
    </w:pPr>
  </w:style>
  <w:style w:type="paragraph" w:customStyle="1" w:styleId="Toc1">
    <w:name w:val="_Toc1"/>
    <w:basedOn w:val="Document"/>
    <w:next w:val="Document"/>
    <w:qFormat/>
    <w:rsid w:val="003455F2"/>
    <w:pPr>
      <w:tabs>
        <w:tab w:val="clear" w:pos="0"/>
        <w:tab w:val="clear" w:pos="400"/>
        <w:tab w:val="clear" w:pos="620"/>
        <w:tab w:val="right" w:pos="440"/>
        <w:tab w:val="left" w:pos="600"/>
        <w:tab w:val="right" w:leader="dot" w:pos="6480"/>
      </w:tabs>
      <w:spacing w:before="0"/>
      <w:ind w:left="600" w:right="440" w:hanging="600"/>
    </w:pPr>
  </w:style>
  <w:style w:type="paragraph" w:customStyle="1" w:styleId="Toc2">
    <w:name w:val="_Toc2"/>
    <w:basedOn w:val="Document"/>
    <w:next w:val="Document"/>
    <w:rsid w:val="00383B92"/>
    <w:pPr>
      <w:tabs>
        <w:tab w:val="clear" w:pos="0"/>
        <w:tab w:val="clear" w:pos="620"/>
        <w:tab w:val="right" w:leader="dot" w:pos="6480"/>
      </w:tabs>
      <w:spacing w:before="0"/>
      <w:ind w:left="1000" w:right="440" w:hanging="400"/>
    </w:pPr>
  </w:style>
  <w:style w:type="paragraph" w:customStyle="1" w:styleId="Toc3">
    <w:name w:val="_Toc3"/>
    <w:basedOn w:val="Document"/>
    <w:next w:val="Document"/>
    <w:qFormat/>
    <w:rsid w:val="00AE1D8F"/>
    <w:pPr>
      <w:tabs>
        <w:tab w:val="clear" w:pos="0"/>
        <w:tab w:val="clear" w:pos="400"/>
        <w:tab w:val="clear" w:pos="620"/>
        <w:tab w:val="left" w:pos="320"/>
        <w:tab w:val="right" w:leader="dot" w:pos="6480"/>
      </w:tabs>
      <w:spacing w:before="0"/>
      <w:ind w:left="1320" w:right="440" w:hanging="320"/>
    </w:pPr>
    <w:rPr>
      <w:i/>
    </w:rPr>
  </w:style>
  <w:style w:type="paragraph" w:customStyle="1" w:styleId="Toc4">
    <w:name w:val="_Toc4"/>
    <w:basedOn w:val="Document"/>
    <w:next w:val="Document"/>
    <w:qFormat/>
    <w:rsid w:val="00383B92"/>
    <w:pPr>
      <w:tabs>
        <w:tab w:val="clear" w:pos="0"/>
        <w:tab w:val="clear" w:pos="400"/>
        <w:tab w:val="clear" w:pos="620"/>
        <w:tab w:val="left" w:pos="360"/>
        <w:tab w:val="right" w:leader="dot" w:pos="6480"/>
      </w:tabs>
      <w:spacing w:before="0"/>
      <w:ind w:left="1680" w:right="440" w:hanging="360"/>
    </w:pPr>
  </w:style>
  <w:style w:type="paragraph" w:customStyle="1" w:styleId="Toc5">
    <w:name w:val="_Toc5"/>
    <w:basedOn w:val="Document"/>
    <w:next w:val="Document"/>
    <w:qFormat/>
    <w:rsid w:val="00383B92"/>
    <w:pPr>
      <w:tabs>
        <w:tab w:val="clear" w:pos="0"/>
        <w:tab w:val="clear" w:pos="400"/>
        <w:tab w:val="clear" w:pos="620"/>
        <w:tab w:val="right" w:pos="360"/>
        <w:tab w:val="right" w:leader="dot" w:pos="6480"/>
      </w:tabs>
      <w:spacing w:before="0"/>
      <w:ind w:left="2040" w:right="440" w:hanging="360"/>
    </w:pPr>
  </w:style>
  <w:style w:type="paragraph" w:customStyle="1" w:styleId="SectionHead">
    <w:name w:val="_SectionHead"/>
    <w:basedOn w:val="Journalfont"/>
    <w:next w:val="Document"/>
    <w:qFormat/>
    <w:rsid w:val="003455F2"/>
    <w:pPr>
      <w:keepNext/>
      <w:suppressLineNumbers/>
      <w:suppressAutoHyphens/>
      <w:spacing w:after="800" w:line="480" w:lineRule="exact"/>
      <w:jc w:val="center"/>
    </w:pPr>
    <w:rPr>
      <w:caps/>
      <w:sz w:val="38"/>
    </w:rPr>
  </w:style>
  <w:style w:type="paragraph" w:customStyle="1" w:styleId="Head1-Articles">
    <w:name w:val="_Head1-Articles"/>
    <w:basedOn w:val="Journalfont"/>
    <w:next w:val="Document"/>
    <w:qFormat/>
    <w:rsid w:val="003455F2"/>
    <w:pPr>
      <w:keepNext/>
      <w:suppressLineNumbers/>
      <w:suppressAutoHyphens/>
      <w:spacing w:after="240" w:line="480" w:lineRule="exact"/>
      <w:jc w:val="center"/>
    </w:pPr>
    <w:rPr>
      <w:sz w:val="38"/>
      <w:szCs w:val="38"/>
    </w:rPr>
  </w:style>
  <w:style w:type="paragraph" w:customStyle="1" w:styleId="Head2-Notes">
    <w:name w:val="_Head2-Notes"/>
    <w:aliases w:val="Comments"/>
    <w:basedOn w:val="Journalfont"/>
    <w:next w:val="Document"/>
    <w:qFormat/>
    <w:rsid w:val="000B01FB"/>
    <w:pPr>
      <w:keepNext/>
      <w:suppressLineNumbers/>
      <w:suppressAutoHyphens/>
      <w:spacing w:after="800" w:line="480" w:lineRule="exact"/>
      <w:jc w:val="left"/>
    </w:pPr>
    <w:rPr>
      <w:sz w:val="36"/>
    </w:rPr>
  </w:style>
  <w:style w:type="paragraph" w:customStyle="1" w:styleId="Head3-BooksReceived">
    <w:name w:val="_Head3-BooksReceived"/>
    <w:basedOn w:val="Journalfont"/>
    <w:next w:val="Document"/>
    <w:qFormat/>
    <w:rsid w:val="003455F2"/>
    <w:pPr>
      <w:keepNext/>
      <w:suppressLineNumbers/>
      <w:suppressAutoHyphens/>
      <w:spacing w:before="720" w:line="320" w:lineRule="exact"/>
      <w:jc w:val="center"/>
    </w:pPr>
    <w:rPr>
      <w:i/>
      <w:sz w:val="28"/>
    </w:rPr>
  </w:style>
  <w:style w:type="paragraph" w:customStyle="1" w:styleId="Head4-BooksReceived">
    <w:name w:val="_Head4-BooksReceived"/>
    <w:basedOn w:val="Journalfont"/>
    <w:next w:val="Document"/>
    <w:qFormat/>
    <w:rsid w:val="003455F2"/>
    <w:pPr>
      <w:keepNext/>
      <w:suppressLineNumbers/>
      <w:suppressAutoHyphens/>
      <w:spacing w:before="480" w:after="120"/>
    </w:pPr>
    <w:rPr>
      <w:b/>
    </w:rPr>
  </w:style>
  <w:style w:type="paragraph" w:customStyle="1" w:styleId="Head5-BookReviews">
    <w:name w:val="_Head5-BookReviews"/>
    <w:basedOn w:val="Journalfont"/>
    <w:next w:val="Document"/>
    <w:qFormat/>
    <w:rsid w:val="003455F2"/>
    <w:pPr>
      <w:keepNext/>
      <w:suppressLineNumbers/>
      <w:suppressAutoHyphens/>
      <w:spacing w:after="120"/>
    </w:pPr>
    <w:rPr>
      <w:b/>
    </w:rPr>
  </w:style>
  <w:style w:type="paragraph" w:customStyle="1" w:styleId="AuthorName1-Articles">
    <w:name w:val="_AuthorName1-Articles"/>
    <w:basedOn w:val="Journalfont"/>
    <w:next w:val="Document"/>
    <w:qFormat/>
    <w:rsid w:val="00283FEA"/>
    <w:pPr>
      <w:keepNext/>
      <w:suppressLineNumbers/>
      <w:suppressAutoHyphens/>
      <w:spacing w:after="240" w:line="320" w:lineRule="exact"/>
      <w:jc w:val="center"/>
    </w:pPr>
    <w:rPr>
      <w:sz w:val="28"/>
      <w:szCs w:val="28"/>
    </w:rPr>
  </w:style>
  <w:style w:type="paragraph" w:customStyle="1" w:styleId="AuthorName2-Students">
    <w:name w:val="_AuthorName2-Students"/>
    <w:basedOn w:val="Journalfont"/>
    <w:next w:val="Document"/>
    <w:qFormat/>
    <w:rsid w:val="00283FEA"/>
    <w:pPr>
      <w:keepNext/>
      <w:suppressLineNumbers/>
      <w:suppressAutoHyphens/>
      <w:spacing w:before="240"/>
      <w:jc w:val="right"/>
    </w:pPr>
    <w:rPr>
      <w:i/>
    </w:rPr>
  </w:style>
  <w:style w:type="paragraph" w:customStyle="1" w:styleId="AuthorName3-Reviews">
    <w:name w:val="_AuthorName3-Reviews"/>
    <w:basedOn w:val="Journalfont"/>
    <w:next w:val="Document"/>
    <w:qFormat/>
    <w:rsid w:val="00283FEA"/>
    <w:pPr>
      <w:keepNext/>
      <w:suppressLineNumbers/>
      <w:suppressAutoHyphens/>
      <w:spacing w:after="240" w:line="320" w:lineRule="exact"/>
      <w:jc w:val="center"/>
    </w:pPr>
    <w:rPr>
      <w:sz w:val="28"/>
      <w:szCs w:val="28"/>
    </w:rPr>
  </w:style>
  <w:style w:type="paragraph" w:customStyle="1" w:styleId="SubHead1">
    <w:name w:val="_SubHead1"/>
    <w:basedOn w:val="Journalfont"/>
    <w:next w:val="Document"/>
    <w:qFormat/>
    <w:rsid w:val="003455F2"/>
    <w:pPr>
      <w:keepNext/>
      <w:suppressLineNumbers/>
      <w:tabs>
        <w:tab w:val="left" w:pos="400"/>
      </w:tabs>
      <w:suppressAutoHyphens/>
      <w:spacing w:before="320" w:after="60"/>
      <w:jc w:val="left"/>
    </w:pPr>
    <w:rPr>
      <w:b/>
    </w:rPr>
  </w:style>
  <w:style w:type="paragraph" w:customStyle="1" w:styleId="SubHead2">
    <w:name w:val="_SubHead2"/>
    <w:basedOn w:val="Journalfont"/>
    <w:next w:val="Document"/>
    <w:qFormat/>
    <w:rsid w:val="003455F2"/>
    <w:pPr>
      <w:keepNext/>
      <w:suppressLineNumbers/>
      <w:tabs>
        <w:tab w:val="left" w:pos="400"/>
      </w:tabs>
      <w:suppressAutoHyphens/>
      <w:spacing w:before="220" w:after="60"/>
      <w:jc w:val="left"/>
    </w:pPr>
  </w:style>
  <w:style w:type="paragraph" w:customStyle="1" w:styleId="SubHead3">
    <w:name w:val="_SubHead3"/>
    <w:basedOn w:val="Journalfont"/>
    <w:next w:val="Document"/>
    <w:qFormat/>
    <w:rsid w:val="003455F2"/>
    <w:pPr>
      <w:keepNext/>
      <w:suppressLineNumbers/>
      <w:tabs>
        <w:tab w:val="left" w:pos="400"/>
      </w:tabs>
      <w:suppressAutoHyphens/>
      <w:spacing w:before="200" w:after="60"/>
      <w:jc w:val="left"/>
    </w:pPr>
    <w:rPr>
      <w:i/>
    </w:rPr>
  </w:style>
  <w:style w:type="paragraph" w:customStyle="1" w:styleId="SubHead4">
    <w:name w:val="_SubHead4"/>
    <w:basedOn w:val="Journalfont"/>
    <w:next w:val="Document"/>
    <w:qFormat/>
    <w:rsid w:val="003455F2"/>
    <w:pPr>
      <w:keepNext/>
      <w:suppressLineNumbers/>
      <w:tabs>
        <w:tab w:val="left" w:pos="400"/>
      </w:tabs>
      <w:suppressAutoHyphens/>
      <w:spacing w:before="200" w:after="60"/>
      <w:jc w:val="left"/>
    </w:pPr>
  </w:style>
  <w:style w:type="paragraph" w:customStyle="1" w:styleId="SubHead5">
    <w:name w:val="_SubHead5"/>
    <w:basedOn w:val="Journalfont"/>
    <w:next w:val="Document"/>
    <w:qFormat/>
    <w:rsid w:val="003455F2"/>
    <w:pPr>
      <w:keepNext/>
      <w:suppressLineNumbers/>
      <w:tabs>
        <w:tab w:val="left" w:pos="400"/>
      </w:tabs>
      <w:suppressAutoHyphens/>
      <w:spacing w:before="200" w:after="60"/>
      <w:jc w:val="left"/>
    </w:pPr>
  </w:style>
  <w:style w:type="paragraph" w:customStyle="1" w:styleId="END">
    <w:name w:val="_END"/>
    <w:basedOn w:val="Journalfont"/>
    <w:next w:val="Document"/>
    <w:rsid w:val="003455F2"/>
    <w:pPr>
      <w:keepNext/>
      <w:suppressLineNumbers/>
      <w:suppressAutoHyphens/>
      <w:spacing w:line="0" w:lineRule="atLeast"/>
      <w:jc w:val="left"/>
    </w:pPr>
  </w:style>
  <w:style w:type="character" w:styleId="FootnoteReference">
    <w:name w:val="footnote reference"/>
    <w:basedOn w:val="DefaultParagraphFont"/>
    <w:semiHidden/>
    <w:rsid w:val="003455F2"/>
    <w:rPr>
      <w:vertAlign w:val="superscript"/>
    </w:rPr>
  </w:style>
  <w:style w:type="paragraph" w:styleId="FootnoteText">
    <w:name w:val="footnote text"/>
    <w:basedOn w:val="Normal"/>
    <w:semiHidden/>
    <w:rsid w:val="003455F2"/>
    <w:rPr>
      <w:sz w:val="24"/>
    </w:rPr>
  </w:style>
  <w:style w:type="paragraph" w:customStyle="1" w:styleId="1stLineQuoteFn-1Num">
    <w:name w:val="_1stLineQuoteFn-1Num"/>
    <w:basedOn w:val="1StQuoteFN"/>
    <w:next w:val="FootNote"/>
    <w:qFormat/>
    <w:rsid w:val="003455F2"/>
    <w:pPr>
      <w:tabs>
        <w:tab w:val="clear" w:pos="680"/>
        <w:tab w:val="left" w:pos="360"/>
        <w:tab w:val="left" w:pos="600"/>
      </w:tabs>
      <w:ind w:hanging="320"/>
    </w:pPr>
  </w:style>
  <w:style w:type="paragraph" w:customStyle="1" w:styleId="1stLineQuoteFn-2Num">
    <w:name w:val="_1stLineQuoteFn-2Num"/>
    <w:basedOn w:val="1StQuoteFN"/>
    <w:next w:val="FootNote"/>
    <w:link w:val="1stLineQuoteFn-2NumChar"/>
    <w:qFormat/>
    <w:rsid w:val="003455F2"/>
    <w:pPr>
      <w:widowControl/>
      <w:suppressLineNumbers w:val="0"/>
      <w:tabs>
        <w:tab w:val="left" w:pos="260"/>
      </w:tabs>
      <w:ind w:hanging="320"/>
    </w:pPr>
  </w:style>
  <w:style w:type="paragraph" w:customStyle="1" w:styleId="1stLineQuoteFn-3Num">
    <w:name w:val="_1stLineQuoteFn-3Num"/>
    <w:basedOn w:val="1StQuoteFN"/>
    <w:qFormat/>
    <w:rsid w:val="0044407D"/>
    <w:pPr>
      <w:widowControl/>
      <w:suppressLineNumbers w:val="0"/>
      <w:tabs>
        <w:tab w:val="left" w:pos="160"/>
      </w:tabs>
      <w:ind w:hanging="320"/>
    </w:pPr>
  </w:style>
  <w:style w:type="character" w:customStyle="1" w:styleId="DocumentChar">
    <w:name w:val="_Document Char"/>
    <w:basedOn w:val="DefaultParagraphFont"/>
    <w:link w:val="Document"/>
    <w:rsid w:val="00283FEA"/>
    <w:rPr>
      <w:rFonts w:ascii="Times New Roman" w:hAnsi="Times New Roman"/>
      <w:sz w:val="21"/>
      <w:szCs w:val="21"/>
    </w:rPr>
  </w:style>
  <w:style w:type="paragraph" w:styleId="TOC10">
    <w:name w:val="toc 1"/>
    <w:basedOn w:val="Toc1"/>
    <w:next w:val="Journalfont"/>
    <w:autoRedefine/>
    <w:uiPriority w:val="39"/>
    <w:rsid w:val="003455F2"/>
  </w:style>
  <w:style w:type="paragraph" w:styleId="TOC20">
    <w:name w:val="toc 2"/>
    <w:basedOn w:val="Toc2"/>
    <w:next w:val="Journalfont"/>
    <w:autoRedefine/>
    <w:uiPriority w:val="39"/>
    <w:rsid w:val="003455F2"/>
  </w:style>
  <w:style w:type="paragraph" w:styleId="TOC30">
    <w:name w:val="toc 3"/>
    <w:basedOn w:val="Toc3"/>
    <w:next w:val="Journalfont"/>
    <w:autoRedefine/>
    <w:uiPriority w:val="39"/>
    <w:rsid w:val="00383B92"/>
  </w:style>
  <w:style w:type="paragraph" w:styleId="TOC40">
    <w:name w:val="toc 4"/>
    <w:basedOn w:val="Toc4"/>
    <w:next w:val="Journalfont"/>
    <w:autoRedefine/>
    <w:uiPriority w:val="39"/>
    <w:rsid w:val="003455F2"/>
  </w:style>
  <w:style w:type="paragraph" w:styleId="TOC50">
    <w:name w:val="toc 5"/>
    <w:basedOn w:val="Toc5"/>
    <w:next w:val="Journalfont"/>
    <w:autoRedefine/>
    <w:uiPriority w:val="39"/>
    <w:rsid w:val="003455F2"/>
  </w:style>
  <w:style w:type="character" w:customStyle="1" w:styleId="FootNoteChar">
    <w:name w:val="_FootNote Char"/>
    <w:basedOn w:val="DocumentChar"/>
    <w:link w:val="FootNote"/>
    <w:rsid w:val="003455F2"/>
    <w:rPr>
      <w:rFonts w:ascii="Times New Roman" w:hAnsi="Times New Roman"/>
      <w:sz w:val="18"/>
      <w:szCs w:val="21"/>
      <w:lang w:val="en-US" w:eastAsia="en-US" w:bidi="ar-SA"/>
    </w:rPr>
  </w:style>
  <w:style w:type="character" w:customStyle="1" w:styleId="1StQuoteFNChar">
    <w:name w:val="_1StQuoteFN Char"/>
    <w:basedOn w:val="FootNoteChar"/>
    <w:link w:val="1StQuoteFN"/>
    <w:rsid w:val="003455F2"/>
    <w:rPr>
      <w:rFonts w:ascii="Times New Roman" w:hAnsi="Times New Roman"/>
      <w:sz w:val="18"/>
      <w:szCs w:val="18"/>
      <w:lang w:val="en-US" w:eastAsia="en-US" w:bidi="ar-SA"/>
    </w:rPr>
  </w:style>
  <w:style w:type="character" w:customStyle="1" w:styleId="1stLineQuoteFn-2NumChar">
    <w:name w:val="_1stLineQuoteFn-2Num Char"/>
    <w:basedOn w:val="1StQuoteFNChar"/>
    <w:link w:val="1stLineQuoteFn-2Num"/>
    <w:rsid w:val="00FC6A7A"/>
    <w:rPr>
      <w:rFonts w:ascii="Times New Roman" w:hAnsi="Times New Roman"/>
      <w:sz w:val="18"/>
      <w:szCs w:val="18"/>
      <w:lang w:val="en-US" w:eastAsia="en-US" w:bidi="ar-SA"/>
    </w:rPr>
  </w:style>
  <w:style w:type="paragraph" w:customStyle="1" w:styleId="header0">
    <w:name w:val="_header"/>
    <w:basedOn w:val="Header"/>
    <w:rsid w:val="00FC6A7A"/>
    <w:pPr>
      <w:pBdr>
        <w:top w:val="single" w:sz="6" w:space="1" w:color="auto"/>
        <w:bottom w:val="single" w:sz="6" w:space="1" w:color="auto"/>
      </w:pBdr>
      <w:tabs>
        <w:tab w:val="clear" w:pos="4320"/>
        <w:tab w:val="clear" w:pos="8640"/>
        <w:tab w:val="right" w:pos="6480"/>
      </w:tabs>
    </w:pPr>
    <w:rPr>
      <w:smallCaps/>
      <w:sz w:val="14"/>
    </w:rPr>
  </w:style>
  <w:style w:type="paragraph" w:styleId="BalloonText">
    <w:name w:val="Balloon Text"/>
    <w:basedOn w:val="Normal"/>
    <w:link w:val="BalloonTextChar"/>
    <w:rsid w:val="002013A2"/>
    <w:rPr>
      <w:rFonts w:ascii="Tahoma" w:hAnsi="Tahoma" w:cs="Tahoma"/>
      <w:sz w:val="16"/>
      <w:szCs w:val="16"/>
    </w:rPr>
  </w:style>
  <w:style w:type="character" w:customStyle="1" w:styleId="BalloonTextChar">
    <w:name w:val="Balloon Text Char"/>
    <w:basedOn w:val="DefaultParagraphFont"/>
    <w:link w:val="BalloonText"/>
    <w:rsid w:val="002013A2"/>
    <w:rPr>
      <w:rFonts w:ascii="Tahoma" w:hAnsi="Tahoma" w:cs="Tahoma"/>
      <w:sz w:val="16"/>
      <w:szCs w:val="16"/>
    </w:rPr>
  </w:style>
  <w:style w:type="paragraph" w:styleId="Revision">
    <w:name w:val="Revision"/>
    <w:hidden/>
    <w:uiPriority w:val="99"/>
    <w:semiHidden/>
    <w:rsid w:val="00A356C7"/>
    <w:rPr>
      <w:sz w:val="21"/>
    </w:rPr>
  </w:style>
  <w:style w:type="character" w:styleId="CommentReference">
    <w:name w:val="annotation reference"/>
    <w:basedOn w:val="DefaultParagraphFont"/>
    <w:semiHidden/>
    <w:unhideWhenUsed/>
    <w:rsid w:val="00A356C7"/>
    <w:rPr>
      <w:sz w:val="16"/>
      <w:szCs w:val="16"/>
    </w:rPr>
  </w:style>
  <w:style w:type="paragraph" w:styleId="CommentText">
    <w:name w:val="annotation text"/>
    <w:basedOn w:val="Normal"/>
    <w:link w:val="CommentTextChar"/>
    <w:semiHidden/>
    <w:unhideWhenUsed/>
    <w:rsid w:val="00A356C7"/>
    <w:rPr>
      <w:sz w:val="20"/>
    </w:rPr>
  </w:style>
  <w:style w:type="character" w:customStyle="1" w:styleId="CommentTextChar">
    <w:name w:val="Comment Text Char"/>
    <w:basedOn w:val="DefaultParagraphFont"/>
    <w:link w:val="CommentText"/>
    <w:semiHidden/>
    <w:rsid w:val="00A356C7"/>
  </w:style>
  <w:style w:type="paragraph" w:styleId="CommentSubject">
    <w:name w:val="annotation subject"/>
    <w:basedOn w:val="CommentText"/>
    <w:next w:val="CommentText"/>
    <w:link w:val="CommentSubjectChar"/>
    <w:semiHidden/>
    <w:unhideWhenUsed/>
    <w:rsid w:val="00A356C7"/>
    <w:rPr>
      <w:b/>
      <w:bCs/>
    </w:rPr>
  </w:style>
  <w:style w:type="character" w:customStyle="1" w:styleId="CommentSubjectChar">
    <w:name w:val="Comment Subject Char"/>
    <w:basedOn w:val="CommentTextChar"/>
    <w:link w:val="CommentSubject"/>
    <w:semiHidden/>
    <w:rsid w:val="00A356C7"/>
    <w:rPr>
      <w:b/>
      <w:bCs/>
    </w:rPr>
  </w:style>
  <w:style w:type="character" w:styleId="Hyperlink">
    <w:name w:val="Hyperlink"/>
    <w:basedOn w:val="DefaultParagraphFont"/>
    <w:unhideWhenUsed/>
    <w:rsid w:val="00095BBB"/>
    <w:rPr>
      <w:color w:val="0000FF" w:themeColor="hyperlink"/>
      <w:u w:val="single"/>
    </w:rPr>
  </w:style>
  <w:style w:type="character" w:styleId="UnresolvedMention">
    <w:name w:val="Unresolved Mention"/>
    <w:basedOn w:val="DefaultParagraphFont"/>
    <w:uiPriority w:val="99"/>
    <w:semiHidden/>
    <w:unhideWhenUsed/>
    <w:rsid w:val="00095BBB"/>
    <w:rPr>
      <w:color w:val="605E5C"/>
      <w:shd w:val="clear" w:color="auto" w:fill="E1DFDD"/>
    </w:rPr>
  </w:style>
  <w:style w:type="character" w:styleId="FollowedHyperlink">
    <w:name w:val="FollowedHyperlink"/>
    <w:basedOn w:val="DefaultParagraphFont"/>
    <w:semiHidden/>
    <w:unhideWhenUsed/>
    <w:rsid w:val="00095B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timesofindia.indiatimes.com/city/thane/palghar-lynching-35-cops-from-kasa-police-station-transferred/articleshow/75436467.cms" TargetMode="External"/><Relationship Id="rId2" Type="http://schemas.openxmlformats.org/officeDocument/2006/relationships/hyperlink" Target="https://vidhilegalpolicy.in/blog/indias-tryst-with-predictive-policing/" TargetMode="External"/><Relationship Id="rId1" Type="http://schemas.openxmlformats.org/officeDocument/2006/relationships/hyperlink" Target="https://www.eff.org/wp/face-law-enforcement-use-facial-recognition-technology" TargetMode="External"/><Relationship Id="rId6" Type="http://schemas.openxmlformats.org/officeDocument/2006/relationships/hyperlink" Target="https://www.interpol.int/en/News-and-Events/News/2023/INTERPOL-and-UNICRI-release-blueprint-for-responsible-use-of-AI-by-law-enforcement" TargetMode="External"/><Relationship Id="rId5" Type="http://schemas.openxmlformats.org/officeDocument/2006/relationships/hyperlink" Target="https://www.reuters.com/technology/german-police-use-software-fight-crime-unlawful-court-says-2023-02-16/" TargetMode="External"/><Relationship Id="rId4" Type="http://schemas.openxmlformats.org/officeDocument/2006/relationships/hyperlink" Target="https://www.consilium.europa.eu/en/press/press-releases/2024/05/21/artificial-intelligence-ai-act-council-gives-final-green-light-to-the-first-worldwide-rules-o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_SetCIN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920C1-09A8-CD4E-B949-D90A7921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_SetCIN12.dotm</Template>
  <TotalTime>0</TotalTime>
  <Pages>22</Pages>
  <Words>7675</Words>
  <Characters>43748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2005-05-20T18:08:00Z</cp:lastPrinted>
  <dcterms:created xsi:type="dcterms:W3CDTF">2025-07-15T01:11:00Z</dcterms:created>
  <dcterms:modified xsi:type="dcterms:W3CDTF">2025-07-15T01:14:00Z</dcterms:modified>
</cp:coreProperties>
</file>